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35BE" w14:textId="77777777" w:rsidR="00770F53" w:rsidRDefault="00770F53" w:rsidP="00044E0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E02A03A" w14:textId="77777777" w:rsidR="00044E00" w:rsidRPr="00770F53" w:rsidRDefault="00044E00" w:rsidP="00044E00">
      <w:pPr>
        <w:rPr>
          <w:rFonts w:ascii="Arial" w:hAnsi="Arial" w:cs="Arial"/>
          <w:b/>
          <w:sz w:val="24"/>
          <w:szCs w:val="24"/>
        </w:rPr>
      </w:pPr>
      <w:r w:rsidRPr="00770F53">
        <w:rPr>
          <w:rFonts w:ascii="Arial" w:hAnsi="Arial" w:cs="Arial"/>
          <w:b/>
          <w:sz w:val="24"/>
          <w:szCs w:val="24"/>
        </w:rPr>
        <w:t xml:space="preserve">Lýsing á hvernig </w:t>
      </w:r>
      <w:r w:rsidR="00F73C33">
        <w:rPr>
          <w:rFonts w:ascii="Arial" w:hAnsi="Arial" w:cs="Arial"/>
          <w:b/>
          <w:sz w:val="24"/>
          <w:szCs w:val="24"/>
        </w:rPr>
        <w:t>Lyfjastofnun</w:t>
      </w:r>
      <w:r w:rsidRPr="00770F53">
        <w:rPr>
          <w:rFonts w:ascii="Arial" w:hAnsi="Arial" w:cs="Arial"/>
          <w:b/>
          <w:sz w:val="24"/>
          <w:szCs w:val="24"/>
        </w:rPr>
        <w:t xml:space="preserve"> reiknar lyfjaverðskrárgengi.</w:t>
      </w:r>
    </w:p>
    <w:p w14:paraId="55C9A19E" w14:textId="77777777" w:rsidR="00044E00" w:rsidRPr="00770F53" w:rsidRDefault="00044E00" w:rsidP="00044E00">
      <w:pPr>
        <w:rPr>
          <w:rFonts w:ascii="Arial" w:hAnsi="Arial" w:cs="Arial"/>
          <w:sz w:val="24"/>
          <w:szCs w:val="24"/>
        </w:rPr>
      </w:pPr>
    </w:p>
    <w:p w14:paraId="334A0E5B" w14:textId="77777777" w:rsidR="00044E00" w:rsidRPr="00770F53" w:rsidRDefault="00044E00" w:rsidP="00044E00">
      <w:pPr>
        <w:rPr>
          <w:rFonts w:ascii="Arial" w:hAnsi="Arial" w:cs="Arial"/>
          <w:sz w:val="24"/>
          <w:szCs w:val="24"/>
        </w:rPr>
      </w:pPr>
      <w:r w:rsidRPr="00770F53">
        <w:rPr>
          <w:rFonts w:ascii="Arial" w:hAnsi="Arial" w:cs="Arial"/>
          <w:sz w:val="24"/>
          <w:szCs w:val="24"/>
        </w:rPr>
        <w:t xml:space="preserve">Við förum á heimasíðu Seðlabankans á undirsíðu sem heitir „Tímaraðir í </w:t>
      </w:r>
      <w:proofErr w:type="spellStart"/>
      <w:r w:rsidRPr="00770F53">
        <w:rPr>
          <w:rFonts w:ascii="Arial" w:hAnsi="Arial" w:cs="Arial"/>
          <w:sz w:val="24"/>
          <w:szCs w:val="24"/>
        </w:rPr>
        <w:t>excel</w:t>
      </w:r>
      <w:proofErr w:type="spellEnd"/>
      <w:r w:rsidRPr="00770F53">
        <w:rPr>
          <w:rFonts w:ascii="Arial" w:hAnsi="Arial" w:cs="Arial"/>
          <w:sz w:val="24"/>
          <w:szCs w:val="24"/>
        </w:rPr>
        <w:t xml:space="preserve">“ sjá hér </w:t>
      </w:r>
      <w:hyperlink r:id="rId9" w:history="1">
        <w:r w:rsidRPr="00770F53">
          <w:rPr>
            <w:rStyle w:val="Hyperlink"/>
            <w:rFonts w:ascii="Arial" w:hAnsi="Arial" w:cs="Arial"/>
            <w:sz w:val="24"/>
            <w:szCs w:val="24"/>
          </w:rPr>
          <w:t>http://sedlabanki.is/?PageId=3ea6d66d-e51e-4c7b-bb0d-bedc5377e014</w:t>
        </w:r>
      </w:hyperlink>
    </w:p>
    <w:p w14:paraId="3B157860" w14:textId="77777777" w:rsidR="00044E00" w:rsidRPr="00770F53" w:rsidRDefault="00044E00" w:rsidP="00044E00">
      <w:pPr>
        <w:rPr>
          <w:rFonts w:ascii="Arial" w:hAnsi="Arial" w:cs="Arial"/>
          <w:sz w:val="24"/>
          <w:szCs w:val="24"/>
        </w:rPr>
      </w:pPr>
      <w:r w:rsidRPr="00770F53">
        <w:rPr>
          <w:rFonts w:ascii="Arial" w:hAnsi="Arial" w:cs="Arial"/>
          <w:color w:val="1F497D"/>
          <w:sz w:val="24"/>
          <w:szCs w:val="24"/>
        </w:rPr>
        <w:t> </w:t>
      </w:r>
    </w:p>
    <w:p w14:paraId="41B7C102" w14:textId="5477F2B6" w:rsidR="00044E00" w:rsidRPr="00770F53" w:rsidRDefault="00044E00" w:rsidP="00044E00">
      <w:pPr>
        <w:rPr>
          <w:rFonts w:ascii="Arial" w:hAnsi="Arial" w:cs="Arial"/>
          <w:sz w:val="24"/>
          <w:szCs w:val="24"/>
        </w:rPr>
      </w:pPr>
      <w:proofErr w:type="spellStart"/>
      <w:r w:rsidRPr="00770F53">
        <w:rPr>
          <w:rFonts w:ascii="Arial" w:hAnsi="Arial" w:cs="Arial"/>
          <w:sz w:val="24"/>
          <w:szCs w:val="24"/>
        </w:rPr>
        <w:t>Hakað</w:t>
      </w:r>
      <w:proofErr w:type="spellEnd"/>
      <w:r w:rsidRPr="00770F53">
        <w:rPr>
          <w:rFonts w:ascii="Arial" w:hAnsi="Arial" w:cs="Arial"/>
          <w:sz w:val="24"/>
          <w:szCs w:val="24"/>
        </w:rPr>
        <w:t xml:space="preserve"> er við USD, GBP, DKK, NOK, SEK, CHF, EUR, </w:t>
      </w:r>
      <w:r w:rsidR="00F73C33">
        <w:rPr>
          <w:rFonts w:ascii="Arial" w:hAnsi="Arial" w:cs="Arial"/>
          <w:sz w:val="24"/>
          <w:szCs w:val="24"/>
        </w:rPr>
        <w:t>miðgengi</w:t>
      </w:r>
      <w:r w:rsidRPr="00770F53">
        <w:rPr>
          <w:rFonts w:ascii="Arial" w:hAnsi="Arial" w:cs="Arial"/>
          <w:sz w:val="24"/>
          <w:szCs w:val="24"/>
        </w:rPr>
        <w:t xml:space="preserve">, dagsgildi, </w:t>
      </w:r>
      <w:r w:rsidR="00EC4DAC">
        <w:rPr>
          <w:rFonts w:ascii="Arial" w:hAnsi="Arial" w:cs="Arial"/>
          <w:sz w:val="24"/>
          <w:szCs w:val="24"/>
        </w:rPr>
        <w:t>fimm</w:t>
      </w:r>
      <w:r w:rsidR="001328CF">
        <w:rPr>
          <w:rFonts w:ascii="Arial" w:hAnsi="Arial" w:cs="Arial"/>
          <w:sz w:val="24"/>
          <w:szCs w:val="24"/>
        </w:rPr>
        <w:t xml:space="preserve"> virkum dögum fyrir gildistöku verðskrár þann 1. eða 1</w:t>
      </w:r>
      <w:r w:rsidR="00110647">
        <w:rPr>
          <w:rFonts w:ascii="Arial" w:hAnsi="Arial" w:cs="Arial"/>
          <w:sz w:val="24"/>
          <w:szCs w:val="24"/>
        </w:rPr>
        <w:t>5</w:t>
      </w:r>
      <w:r w:rsidR="001328CF">
        <w:rPr>
          <w:rFonts w:ascii="Arial" w:hAnsi="Arial" w:cs="Arial"/>
          <w:sz w:val="24"/>
          <w:szCs w:val="24"/>
        </w:rPr>
        <w:t>. dag mánaðar</w:t>
      </w:r>
      <w:r w:rsidRPr="00770F53">
        <w:rPr>
          <w:rFonts w:ascii="Arial" w:hAnsi="Arial" w:cs="Arial"/>
          <w:sz w:val="24"/>
          <w:szCs w:val="24"/>
        </w:rPr>
        <w:t>. Smellt á sækja.</w:t>
      </w:r>
    </w:p>
    <w:p w14:paraId="4174442A" w14:textId="77777777" w:rsidR="00044E00" w:rsidRPr="00770F53" w:rsidRDefault="00044E00" w:rsidP="00044E00">
      <w:pPr>
        <w:rPr>
          <w:rFonts w:ascii="Arial" w:hAnsi="Arial" w:cs="Arial"/>
          <w:sz w:val="24"/>
          <w:szCs w:val="24"/>
        </w:rPr>
      </w:pPr>
    </w:p>
    <w:p w14:paraId="2467E251" w14:textId="77777777" w:rsidR="00044E00" w:rsidRPr="00770F53" w:rsidRDefault="00044E00" w:rsidP="00044E00">
      <w:pPr>
        <w:rPr>
          <w:rFonts w:ascii="Arial" w:hAnsi="Arial" w:cs="Arial"/>
          <w:sz w:val="24"/>
          <w:szCs w:val="24"/>
        </w:rPr>
      </w:pPr>
      <w:r w:rsidRPr="00770F53">
        <w:rPr>
          <w:rFonts w:ascii="Arial" w:hAnsi="Arial" w:cs="Arial"/>
          <w:sz w:val="24"/>
          <w:szCs w:val="24"/>
        </w:rPr>
        <w:t xml:space="preserve">Út kemur skjal sem hægt er að opna í </w:t>
      </w:r>
      <w:proofErr w:type="spellStart"/>
      <w:r w:rsidRPr="00770F53">
        <w:rPr>
          <w:rFonts w:ascii="Arial" w:hAnsi="Arial" w:cs="Arial"/>
          <w:sz w:val="24"/>
          <w:szCs w:val="24"/>
        </w:rPr>
        <w:t>excel</w:t>
      </w:r>
      <w:proofErr w:type="spellEnd"/>
      <w:r w:rsidRPr="00770F53">
        <w:rPr>
          <w:rFonts w:ascii="Arial" w:hAnsi="Arial" w:cs="Arial"/>
          <w:sz w:val="24"/>
          <w:szCs w:val="24"/>
        </w:rPr>
        <w:t>.</w:t>
      </w:r>
    </w:p>
    <w:p w14:paraId="4061F5D9" w14:textId="77777777" w:rsidR="00044E00" w:rsidRPr="00770F53" w:rsidRDefault="00044E00" w:rsidP="00044E00">
      <w:pPr>
        <w:rPr>
          <w:sz w:val="24"/>
          <w:szCs w:val="24"/>
        </w:rPr>
      </w:pPr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264"/>
        <w:gridCol w:w="1264"/>
        <w:gridCol w:w="1264"/>
        <w:gridCol w:w="1264"/>
        <w:gridCol w:w="1264"/>
        <w:gridCol w:w="1264"/>
        <w:gridCol w:w="1264"/>
      </w:tblGrid>
      <w:tr w:rsidR="00F73C33" w:rsidRPr="00770F53" w14:paraId="68184A3C" w14:textId="77777777" w:rsidTr="00110647">
        <w:trPr>
          <w:trHeight w:val="315"/>
        </w:trPr>
        <w:tc>
          <w:tcPr>
            <w:tcW w:w="1106" w:type="dxa"/>
            <w:tcBorders>
              <w:top w:val="single" w:sz="8" w:space="0" w:color="90909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0921570F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5F158A07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585D157E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GBP</w:t>
            </w: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060E72A5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DKK</w:t>
            </w: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7350DEAF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NOK</w:t>
            </w: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007BC901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SEK</w:t>
            </w: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27DACE5B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CHF</w:t>
            </w:r>
          </w:p>
        </w:tc>
        <w:tc>
          <w:tcPr>
            <w:tcW w:w="1264" w:type="dxa"/>
            <w:tcBorders>
              <w:top w:val="single" w:sz="8" w:space="0" w:color="90909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  <w:hideMark/>
          </w:tcPr>
          <w:p w14:paraId="102B4C3C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</w:tr>
      <w:tr w:rsidR="00F73C33" w:rsidRPr="00770F53" w14:paraId="7DDE406A" w14:textId="77777777" w:rsidTr="00110647">
        <w:trPr>
          <w:trHeight w:val="315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06E4DD58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DAGS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150C263A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0E234DD3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7B6D4774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2A5B2900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0640A238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hideMark/>
          </w:tcPr>
          <w:p w14:paraId="789C012D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  <w:hideMark/>
          </w:tcPr>
          <w:p w14:paraId="13E61C74" w14:textId="77777777" w:rsidR="00F73C33" w:rsidRPr="001328CF" w:rsidRDefault="00F73C33" w:rsidP="00F7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8CF">
              <w:rPr>
                <w:rFonts w:ascii="Arial" w:hAnsi="Arial" w:cs="Arial"/>
                <w:b/>
                <w:bCs/>
                <w:sz w:val="20"/>
                <w:szCs w:val="20"/>
              </w:rPr>
              <w:t>MED</w:t>
            </w:r>
          </w:p>
        </w:tc>
      </w:tr>
      <w:tr w:rsidR="001328CF" w:rsidRPr="00770F53" w14:paraId="66F4D635" w14:textId="77777777" w:rsidTr="00110647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1A696A24" w14:textId="53FB9573" w:rsidR="001328CF" w:rsidRPr="001328CF" w:rsidRDefault="001328CF" w:rsidP="001328CF">
            <w:pPr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9.11.2021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5919B890" w14:textId="44969E9F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129,91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4ACA4776" w14:textId="59AAB9FE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176,15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4D24659D" w14:textId="06E90ACF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20,221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085B1985" w14:textId="6914D51A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15,261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29EEC2DB" w14:textId="3B5F93F7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15,193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  <w:hideMark/>
          </w:tcPr>
          <w:p w14:paraId="47B62699" w14:textId="3E9C5B55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141,99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89A9" w14:textId="39FE344C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color w:val="000000"/>
                <w:sz w:val="20"/>
                <w:szCs w:val="20"/>
              </w:rPr>
              <w:t>150,4</w:t>
            </w:r>
          </w:p>
        </w:tc>
      </w:tr>
      <w:tr w:rsidR="00F73C33" w:rsidRPr="00770F53" w14:paraId="7203823E" w14:textId="77777777" w:rsidTr="00110647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59CAA9D6" w14:textId="69D0CFF0" w:rsidR="00F73C33" w:rsidRPr="001328CF" w:rsidRDefault="00F73C33" w:rsidP="00F73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4EE256E0" w14:textId="4D8B0878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5C2BAAF0" w14:textId="55D7A969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124991AE" w14:textId="50F4AE83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2B66878B" w14:textId="2EF6E67A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176AB657" w14:textId="036AB037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73E1EF16" w14:textId="4732D037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</w:tcPr>
          <w:p w14:paraId="3D9E03C5" w14:textId="0B9AA82F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8CF" w:rsidRPr="00770F53" w14:paraId="1642D864" w14:textId="77777777" w:rsidTr="00110647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4EAB8688" w14:textId="28C1B64D" w:rsidR="001328CF" w:rsidRPr="001328CF" w:rsidRDefault="001328CF" w:rsidP="001328CF">
            <w:pPr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Sölugengi stuðull</w:t>
            </w:r>
          </w:p>
          <w:p w14:paraId="0BA87106" w14:textId="2554F862" w:rsidR="001328CF" w:rsidRPr="001328CF" w:rsidRDefault="001328CF" w:rsidP="00132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5804A741" w14:textId="76921420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100,2384%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45914BAB" w14:textId="5D1B051C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100,2428%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7210BDE7" w14:textId="709FFC2E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100,2915%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07523E82" w14:textId="449A57F6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100,2936%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7934B0CE" w14:textId="702D5DE4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100,2920%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756FB5C9" w14:textId="1777F8C1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100,2783%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</w:tcPr>
          <w:p w14:paraId="599DD009" w14:textId="708EC094" w:rsidR="001328CF" w:rsidRPr="00110647" w:rsidRDefault="001328CF" w:rsidP="00110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647">
              <w:rPr>
                <w:rFonts w:ascii="Arial" w:hAnsi="Arial" w:cs="Arial"/>
                <w:sz w:val="20"/>
                <w:szCs w:val="20"/>
              </w:rPr>
              <w:t>100,2790%</w:t>
            </w:r>
          </w:p>
        </w:tc>
      </w:tr>
      <w:tr w:rsidR="00F73C33" w:rsidRPr="00770F53" w14:paraId="6B9B105D" w14:textId="77777777" w:rsidTr="00110647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1D74361E" w14:textId="7114BE12" w:rsidR="00F73C33" w:rsidRPr="001328CF" w:rsidRDefault="00F73C33" w:rsidP="00F73C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0E4CE2CF" w14:textId="1ECB1C98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36A5E4BC" w14:textId="136EDAC3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1544C95B" w14:textId="2037B030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0AED5F5C" w14:textId="080418CA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4F7001D8" w14:textId="5F9591B8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1703A8DE" w14:textId="003A81E3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</w:tcPr>
          <w:p w14:paraId="0272079F" w14:textId="123E6F24" w:rsidR="00F73C33" w:rsidRPr="001328CF" w:rsidRDefault="00F73C33" w:rsidP="00F73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8CF" w:rsidRPr="00770F53" w14:paraId="5A5EDBF8" w14:textId="77777777" w:rsidTr="00110647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36CFA312" w14:textId="7774E747" w:rsidR="001328CF" w:rsidRPr="00110647" w:rsidRDefault="001328CF" w:rsidP="001328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647">
              <w:rPr>
                <w:rFonts w:ascii="Arial" w:hAnsi="Arial" w:cs="Arial"/>
                <w:b/>
                <w:bCs/>
                <w:sz w:val="20"/>
                <w:szCs w:val="20"/>
              </w:rPr>
              <w:t>Nýtt gen</w:t>
            </w:r>
            <w:r w:rsidR="00C21F6B" w:rsidRPr="00110647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1106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</w:tcPr>
          <w:p w14:paraId="56AFA781" w14:textId="31C2F684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130,2197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</w:tcPr>
          <w:p w14:paraId="2BB9E205" w14:textId="1F77E5F2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176,5777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</w:tcPr>
          <w:p w14:paraId="1520B1B6" w14:textId="55BD2D09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20,2799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</w:tcPr>
          <w:p w14:paraId="224E4911" w14:textId="55758DFB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15,3058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</w:tcPr>
          <w:p w14:paraId="3055E2A0" w14:textId="19D4BC9D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15,2374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  <w:vAlign w:val="bottom"/>
          </w:tcPr>
          <w:p w14:paraId="69E3D89B" w14:textId="11549221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142,3851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  <w:vAlign w:val="bottom"/>
          </w:tcPr>
          <w:p w14:paraId="64F9B342" w14:textId="7476AD37" w:rsidR="001328CF" w:rsidRPr="001328CF" w:rsidRDefault="001328CF" w:rsidP="001328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8CF">
              <w:rPr>
                <w:rFonts w:ascii="Arial" w:hAnsi="Arial" w:cs="Arial"/>
                <w:sz w:val="20"/>
                <w:szCs w:val="20"/>
              </w:rPr>
              <w:t>150,8197</w:t>
            </w:r>
          </w:p>
        </w:tc>
      </w:tr>
      <w:tr w:rsidR="00F73C33" w:rsidRPr="00770F53" w14:paraId="764955A0" w14:textId="77777777" w:rsidTr="00110647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8" w:space="0" w:color="90909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04298FA4" w14:textId="0D02F9F2" w:rsidR="00F73C33" w:rsidRPr="0088186A" w:rsidRDefault="00F73C33" w:rsidP="00F73C33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49783230" w14:textId="38B18332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232A2A57" w14:textId="658BA122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23A70959" w14:textId="5CE558C7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5A1E6895" w14:textId="7EB0BA3B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5B9F0062" w14:textId="5D50C55F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8" w:space="0" w:color="B0B0B0"/>
            </w:tcBorders>
            <w:shd w:val="clear" w:color="auto" w:fill="auto"/>
          </w:tcPr>
          <w:p w14:paraId="7DDE8AC9" w14:textId="3E019227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B0B0B0"/>
              <w:right w:val="single" w:sz="4" w:space="0" w:color="000000"/>
            </w:tcBorders>
            <w:shd w:val="clear" w:color="auto" w:fill="auto"/>
          </w:tcPr>
          <w:p w14:paraId="5D7F4365" w14:textId="49F7AF01" w:rsidR="00F73C33" w:rsidRPr="0088186A" w:rsidRDefault="00F73C33" w:rsidP="00F73C3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1C0BED9" w14:textId="77777777" w:rsidR="00044E00" w:rsidRPr="00770F53" w:rsidRDefault="00044E00" w:rsidP="00044E00">
      <w:pPr>
        <w:rPr>
          <w:sz w:val="24"/>
          <w:szCs w:val="24"/>
        </w:rPr>
      </w:pPr>
    </w:p>
    <w:p w14:paraId="4A665EFA" w14:textId="77777777" w:rsidR="00E74F55" w:rsidRDefault="00B5242E" w:rsidP="00044E00">
      <w:pPr>
        <w:rPr>
          <w:rFonts w:ascii="Arial" w:hAnsi="Arial" w:cs="Arial"/>
          <w:sz w:val="24"/>
          <w:szCs w:val="24"/>
        </w:rPr>
      </w:pPr>
      <w:r w:rsidRPr="00E74F55">
        <w:rPr>
          <w:rFonts w:ascii="Arial" w:hAnsi="Arial" w:cs="Arial"/>
          <w:sz w:val="24"/>
          <w:szCs w:val="24"/>
        </w:rPr>
        <w:t>Seðlabankinn er hættur að reikna sölugengi sem áður var notað til að reikna lyfjaverðskrárgengi.</w:t>
      </w:r>
      <w:r w:rsidR="00E74F55" w:rsidRPr="00E74F55">
        <w:rPr>
          <w:rFonts w:ascii="Arial" w:hAnsi="Arial" w:cs="Arial"/>
          <w:sz w:val="24"/>
          <w:szCs w:val="24"/>
        </w:rPr>
        <w:t xml:space="preserve"> Á fundum lyfjagreiðslunefndar 2020</w:t>
      </w:r>
      <w:r w:rsidR="00E74F55">
        <w:rPr>
          <w:rFonts w:ascii="Arial" w:hAnsi="Arial" w:cs="Arial"/>
          <w:sz w:val="24"/>
          <w:szCs w:val="24"/>
        </w:rPr>
        <w:t xml:space="preserve"> var ákveðið að nota miðgengi Seðlabankans og sölugengisfasta til að handreikna Sölugengi áfram, þó tímabundið</w:t>
      </w:r>
      <w:r w:rsidR="00813F01">
        <w:rPr>
          <w:rFonts w:ascii="Arial" w:hAnsi="Arial" w:cs="Arial"/>
          <w:sz w:val="24"/>
          <w:szCs w:val="24"/>
        </w:rPr>
        <w:t>, þar sem lyfjagreiðslunefnd var lögð niður 31.12.2020 og Lyfjastofnun tók við útgáfu lyfjaverðskrár og þar með gengisreikningum.</w:t>
      </w:r>
    </w:p>
    <w:p w14:paraId="545675FC" w14:textId="77777777" w:rsidR="00E74F55" w:rsidRDefault="00E74F55" w:rsidP="00044E00">
      <w:pPr>
        <w:rPr>
          <w:rFonts w:ascii="Arial" w:hAnsi="Arial" w:cs="Arial"/>
          <w:sz w:val="24"/>
          <w:szCs w:val="24"/>
        </w:rPr>
      </w:pPr>
    </w:p>
    <w:p w14:paraId="13F9243C" w14:textId="77777777" w:rsidR="00E74F55" w:rsidRDefault="00E74F55" w:rsidP="00E74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Sjá nánar hér </w:t>
      </w:r>
      <w:hyperlink r:id="rId10" w:history="1">
        <w:r w:rsidRPr="007A5FBF">
          <w:rPr>
            <w:rStyle w:val="Hyperlink"/>
            <w:rFonts w:ascii="Arial" w:hAnsi="Arial" w:cs="Arial"/>
            <w:sz w:val="24"/>
            <w:szCs w:val="24"/>
          </w:rPr>
          <w:t>https://verd.lyfjastofnun.is/?pageid=133</w:t>
        </w:r>
      </w:hyperlink>
      <w:r>
        <w:rPr>
          <w:rFonts w:ascii="Arial" w:hAnsi="Arial" w:cs="Arial"/>
          <w:sz w:val="24"/>
          <w:szCs w:val="24"/>
        </w:rPr>
        <w:t xml:space="preserve"> í fundargerðum lyfjagreiðslunefndar. L</w:t>
      </w:r>
      <w:r w:rsidRPr="00E74F55">
        <w:rPr>
          <w:rFonts w:ascii="Arial" w:hAnsi="Arial" w:cs="Arial"/>
          <w:sz w:val="24"/>
          <w:szCs w:val="24"/>
        </w:rPr>
        <w:t>iður 4.3 í fundargerð nr. 316, Liður 8.3 í fundargerð nr. 319</w:t>
      </w:r>
      <w:r>
        <w:rPr>
          <w:rFonts w:ascii="Arial" w:hAnsi="Arial" w:cs="Arial"/>
          <w:sz w:val="24"/>
          <w:szCs w:val="24"/>
        </w:rPr>
        <w:t xml:space="preserve"> </w:t>
      </w:r>
      <w:r w:rsidRPr="00E74F55">
        <w:rPr>
          <w:rFonts w:ascii="Arial" w:hAnsi="Arial" w:cs="Arial"/>
          <w:sz w:val="24"/>
          <w:szCs w:val="24"/>
        </w:rPr>
        <w:t>og Liður 10.3 í fundargerð nr. 326</w:t>
      </w:r>
    </w:p>
    <w:p w14:paraId="242DC314" w14:textId="77777777" w:rsidR="00E74F55" w:rsidRDefault="00E74F55" w:rsidP="00E74F55">
      <w:pPr>
        <w:rPr>
          <w:rFonts w:ascii="Arial" w:hAnsi="Arial" w:cs="Arial"/>
          <w:sz w:val="24"/>
          <w:szCs w:val="24"/>
        </w:rPr>
      </w:pPr>
    </w:p>
    <w:p w14:paraId="5F73C286" w14:textId="5ADDF308" w:rsidR="00044E00" w:rsidRPr="00770F53" w:rsidRDefault="0088186A" w:rsidP="00110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Þ.a. miðgengi Seðlabankans, </w:t>
      </w:r>
      <w:r w:rsidR="00813F01">
        <w:rPr>
          <w:rFonts w:ascii="Arial" w:hAnsi="Arial" w:cs="Arial"/>
          <w:sz w:val="24"/>
          <w:szCs w:val="24"/>
        </w:rPr>
        <w:t>upp reiknað</w:t>
      </w:r>
      <w:r>
        <w:rPr>
          <w:rFonts w:ascii="Arial" w:hAnsi="Arial" w:cs="Arial"/>
          <w:sz w:val="24"/>
          <w:szCs w:val="24"/>
        </w:rPr>
        <w:t xml:space="preserve"> með fyrrgreindum sölustuðli er skilgreint sem sölugengi </w:t>
      </w:r>
      <w:r w:rsidR="00110647">
        <w:rPr>
          <w:rFonts w:ascii="Arial" w:hAnsi="Arial" w:cs="Arial"/>
          <w:sz w:val="24"/>
          <w:szCs w:val="24"/>
        </w:rPr>
        <w:t>og notað til að uppfæra verð í lyfjaverðskrá þann 1. og 15. hvers mánaðar.</w:t>
      </w:r>
      <w:r>
        <w:rPr>
          <w:rFonts w:ascii="Arial" w:hAnsi="Arial" w:cs="Arial"/>
          <w:sz w:val="24"/>
          <w:szCs w:val="24"/>
        </w:rPr>
        <w:t>.</w:t>
      </w:r>
    </w:p>
    <w:p w14:paraId="40220F7D" w14:textId="77777777" w:rsidR="00044E00" w:rsidRPr="00770F53" w:rsidRDefault="00044E00" w:rsidP="00044E00">
      <w:pPr>
        <w:rPr>
          <w:sz w:val="24"/>
          <w:szCs w:val="24"/>
        </w:rPr>
      </w:pPr>
      <w:r w:rsidRPr="00770F53">
        <w:rPr>
          <w:color w:val="1F497D"/>
          <w:sz w:val="24"/>
          <w:szCs w:val="24"/>
        </w:rPr>
        <w:t> </w:t>
      </w:r>
    </w:p>
    <w:p w14:paraId="75B9125D" w14:textId="695AF20F" w:rsidR="00686822" w:rsidRPr="00770F53" w:rsidRDefault="00770F53">
      <w:pPr>
        <w:rPr>
          <w:rFonts w:ascii="Arial" w:hAnsi="Arial" w:cs="Arial"/>
          <w:sz w:val="24"/>
          <w:szCs w:val="24"/>
        </w:rPr>
      </w:pPr>
      <w:r w:rsidRPr="00770F53">
        <w:rPr>
          <w:rFonts w:ascii="Arial" w:hAnsi="Arial" w:cs="Arial"/>
          <w:sz w:val="24"/>
          <w:szCs w:val="24"/>
        </w:rPr>
        <w:t xml:space="preserve">Uppfært </w:t>
      </w:r>
      <w:r w:rsidR="0073594E">
        <w:rPr>
          <w:rFonts w:ascii="Arial" w:hAnsi="Arial" w:cs="Arial"/>
          <w:sz w:val="24"/>
          <w:szCs w:val="24"/>
        </w:rPr>
        <w:t>7</w:t>
      </w:r>
      <w:r w:rsidR="0088186A">
        <w:rPr>
          <w:rFonts w:ascii="Arial" w:hAnsi="Arial" w:cs="Arial"/>
          <w:sz w:val="24"/>
          <w:szCs w:val="24"/>
        </w:rPr>
        <w:t xml:space="preserve">. </w:t>
      </w:r>
      <w:r w:rsidR="0073594E">
        <w:rPr>
          <w:rFonts w:ascii="Arial" w:hAnsi="Arial" w:cs="Arial"/>
          <w:sz w:val="24"/>
          <w:szCs w:val="24"/>
        </w:rPr>
        <w:t>apríl</w:t>
      </w:r>
      <w:r w:rsidR="0088186A">
        <w:rPr>
          <w:rFonts w:ascii="Arial" w:hAnsi="Arial" w:cs="Arial"/>
          <w:sz w:val="24"/>
          <w:szCs w:val="24"/>
        </w:rPr>
        <w:t xml:space="preserve"> </w:t>
      </w:r>
      <w:r w:rsidRPr="00770F53">
        <w:rPr>
          <w:rFonts w:ascii="Arial" w:hAnsi="Arial" w:cs="Arial"/>
          <w:sz w:val="24"/>
          <w:szCs w:val="24"/>
        </w:rPr>
        <w:t>20</w:t>
      </w:r>
      <w:r w:rsidR="0088186A">
        <w:rPr>
          <w:rFonts w:ascii="Arial" w:hAnsi="Arial" w:cs="Arial"/>
          <w:sz w:val="24"/>
          <w:szCs w:val="24"/>
        </w:rPr>
        <w:t>2</w:t>
      </w:r>
      <w:r w:rsidR="0073594E">
        <w:rPr>
          <w:rFonts w:ascii="Arial" w:hAnsi="Arial" w:cs="Arial"/>
          <w:sz w:val="24"/>
          <w:szCs w:val="24"/>
        </w:rPr>
        <w:t>2</w:t>
      </w:r>
    </w:p>
    <w:sectPr w:rsidR="00686822" w:rsidRPr="00770F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C8FF" w14:textId="77777777" w:rsidR="00F64980" w:rsidRDefault="00F64980" w:rsidP="00770F53">
      <w:r>
        <w:separator/>
      </w:r>
    </w:p>
  </w:endnote>
  <w:endnote w:type="continuationSeparator" w:id="0">
    <w:p w14:paraId="333008D0" w14:textId="77777777" w:rsidR="00F64980" w:rsidRDefault="00F64980" w:rsidP="0077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2C34" w14:textId="77777777" w:rsidR="00F64980" w:rsidRDefault="00F64980" w:rsidP="00770F53">
      <w:r>
        <w:separator/>
      </w:r>
    </w:p>
  </w:footnote>
  <w:footnote w:type="continuationSeparator" w:id="0">
    <w:p w14:paraId="3E00E108" w14:textId="77777777" w:rsidR="00F64980" w:rsidRDefault="00F64980" w:rsidP="0077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DD09" w14:textId="77777777" w:rsidR="00770F53" w:rsidRPr="00F73C33" w:rsidRDefault="00F73C33" w:rsidP="00F73C33">
    <w:pPr>
      <w:pStyle w:val="Header"/>
      <w:jc w:val="right"/>
    </w:pPr>
    <w:r>
      <w:rPr>
        <w:noProof/>
      </w:rPr>
      <w:drawing>
        <wp:inline distT="0" distB="0" distL="0" distR="0" wp14:anchorId="1BFED29D" wp14:editId="19E28CD5">
          <wp:extent cx="2332800" cy="63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4"/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00"/>
    <w:rsid w:val="00044E00"/>
    <w:rsid w:val="00110647"/>
    <w:rsid w:val="001328CF"/>
    <w:rsid w:val="004E2479"/>
    <w:rsid w:val="005A1A02"/>
    <w:rsid w:val="00686822"/>
    <w:rsid w:val="006A7595"/>
    <w:rsid w:val="006B3194"/>
    <w:rsid w:val="0073594E"/>
    <w:rsid w:val="00770F53"/>
    <w:rsid w:val="00813F01"/>
    <w:rsid w:val="0088186A"/>
    <w:rsid w:val="00B5242E"/>
    <w:rsid w:val="00C21F6B"/>
    <w:rsid w:val="00E74F55"/>
    <w:rsid w:val="00EC4DAC"/>
    <w:rsid w:val="00F64980"/>
    <w:rsid w:val="00F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C83898"/>
  <w15:docId w15:val="{1616840E-0306-4287-A88D-588E9204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4E0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F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5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0F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5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5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4F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7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erd.lyfjastofnun.is/?pageid=133" TargetMode="External"/><Relationship Id="rId4" Type="http://schemas.openxmlformats.org/officeDocument/2006/relationships/styles" Target="styles.xml"/><Relationship Id="rId9" Type="http://schemas.openxmlformats.org/officeDocument/2006/relationships/hyperlink" Target="http://sedlabanki.is/?PageId=3ea6d66d-e51e-4c7b-bb0d-bedc5377e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0B8489964B47A20B262CADC31190" ma:contentTypeVersion="13" ma:contentTypeDescription="Create a new document." ma:contentTypeScope="" ma:versionID="b8aa40d190e6a4b017e7ad050ceacb1b">
  <xsd:schema xmlns:xsd="http://www.w3.org/2001/XMLSchema" xmlns:xs="http://www.w3.org/2001/XMLSchema" xmlns:p="http://schemas.microsoft.com/office/2006/metadata/properties" xmlns:ns3="7f092f62-7762-4f65-95f1-7ba8f9604d4d" xmlns:ns4="77eeb009-1e6f-4805-8ea3-1b8744daf012" targetNamespace="http://schemas.microsoft.com/office/2006/metadata/properties" ma:root="true" ma:fieldsID="799488d5759f57b0053bf5d292e33f62" ns3:_="" ns4:_="">
    <xsd:import namespace="7f092f62-7762-4f65-95f1-7ba8f9604d4d"/>
    <xsd:import namespace="77eeb009-1e6f-4805-8ea3-1b8744daf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92f62-7762-4f65-95f1-7ba8f9604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eb009-1e6f-4805-8ea3-1b8744daf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FDEE1-2D5D-4411-9D21-3E86FFF8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92f62-7762-4f65-95f1-7ba8f9604d4d"/>
    <ds:schemaRef ds:uri="77eeb009-1e6f-4805-8ea3-1b8744daf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D067C-58BC-4403-A001-0E92DD227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37D63-226C-4AB7-828B-EE2EB61EE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Sveinbjörn  Högnason</dc:creator>
  <cp:lastModifiedBy>Gunnar Alexander Ólafsson - IMA</cp:lastModifiedBy>
  <cp:revision>2</cp:revision>
  <dcterms:created xsi:type="dcterms:W3CDTF">2022-04-07T16:11:00Z</dcterms:created>
  <dcterms:modified xsi:type="dcterms:W3CDTF">2022-04-07T16:11:00Z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0x01010038950B8489964B47A20B262CADC31190</vt:lpwstr>
  </property>
</Properties>
</file>