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B4A8" w14:textId="77777777" w:rsidR="00760319" w:rsidRDefault="00760319"/>
    <w:p w14:paraId="50787B62" w14:textId="77777777" w:rsidR="008D12AC" w:rsidRDefault="008D12AC" w:rsidP="008D12AC">
      <w:pPr>
        <w:pStyle w:val="RefAgency"/>
        <w:tabs>
          <w:tab w:val="left" w:pos="1277"/>
          <w:tab w:val="left" w:pos="4107"/>
        </w:tabs>
      </w:pPr>
      <w:r>
        <w:tab/>
      </w:r>
    </w:p>
    <w:p w14:paraId="39222C3A" w14:textId="77777777" w:rsidR="008D12AC" w:rsidRPr="003A0091" w:rsidRDefault="008D12AC" w:rsidP="008D12AC">
      <w:pPr>
        <w:pStyle w:val="RefAgency"/>
        <w:tabs>
          <w:tab w:val="left" w:pos="1277"/>
          <w:tab w:val="left" w:pos="4107"/>
        </w:tabs>
        <w:rPr>
          <w:lang w:val="is-IS"/>
        </w:rPr>
      </w:pPr>
      <w:r w:rsidRPr="003A0091">
        <w:rPr>
          <w:lang w:val="is-IS"/>
        </w:rPr>
        <w:t>Íslensk þýðing á tillögu texta úr Fréttatilkynningu CMDh frá fundi dags. 11-13. október 2022</w:t>
      </w:r>
    </w:p>
    <w:p w14:paraId="6F078DCD" w14:textId="77777777" w:rsidR="008D12AC" w:rsidRPr="003A0091" w:rsidRDefault="008D12AC" w:rsidP="008D12AC">
      <w:pPr>
        <w:pStyle w:val="RefAgency"/>
        <w:tabs>
          <w:tab w:val="left" w:pos="1277"/>
          <w:tab w:val="left" w:pos="4107"/>
        </w:tabs>
        <w:rPr>
          <w:lang w:val="is-IS"/>
        </w:rPr>
      </w:pPr>
      <w:r w:rsidRPr="003A0091">
        <w:rPr>
          <w:lang w:val="is-IS"/>
        </w:rPr>
        <w:t>EMA/CMDh/799421/2022</w:t>
      </w:r>
    </w:p>
    <w:p w14:paraId="0FD7DE6C" w14:textId="77777777" w:rsidR="008D12AC" w:rsidRPr="003A0091" w:rsidRDefault="008D12AC" w:rsidP="008D12AC">
      <w:pPr>
        <w:pStyle w:val="No-numheading1Agency"/>
        <w:rPr>
          <w:lang w:val="is-IS"/>
        </w:rPr>
      </w:pPr>
      <w:bookmarkStart w:id="0" w:name="Head"/>
      <w:bookmarkStart w:id="1" w:name="_Toc488323305"/>
      <w:bookmarkStart w:id="2" w:name="_Toc243031633"/>
      <w:bookmarkStart w:id="3" w:name="_Toc247521363"/>
      <w:bookmarkStart w:id="4" w:name="_Toc247523432"/>
      <w:bookmarkEnd w:id="0"/>
      <w:r w:rsidRPr="003A0091">
        <w:rPr>
          <w:lang w:val="is-IS"/>
        </w:rPr>
        <w:t>Lyf sem innihalda metr</w:t>
      </w:r>
      <w:r>
        <w:rPr>
          <w:lang w:val="is-IS"/>
        </w:rPr>
        <w:t>ó</w:t>
      </w:r>
      <w:r w:rsidRPr="003A0091">
        <w:rPr>
          <w:lang w:val="is-IS"/>
        </w:rPr>
        <w:t>n</w:t>
      </w:r>
      <w:r>
        <w:rPr>
          <w:lang w:val="is-IS"/>
        </w:rPr>
        <w:t>í</w:t>
      </w:r>
      <w:r w:rsidRPr="003A0091">
        <w:rPr>
          <w:lang w:val="is-IS"/>
        </w:rPr>
        <w:t>daz</w:t>
      </w:r>
      <w:r>
        <w:rPr>
          <w:lang w:val="is-IS"/>
        </w:rPr>
        <w:t>ó</w:t>
      </w:r>
      <w:r w:rsidRPr="003A0091">
        <w:rPr>
          <w:lang w:val="is-IS"/>
        </w:rPr>
        <w:t>l (fyrir utan lyf til útvortis notkunar á húð)</w:t>
      </w:r>
    </w:p>
    <w:p w14:paraId="677C8CE7" w14:textId="77777777" w:rsidR="008D12AC" w:rsidRPr="003A0091" w:rsidRDefault="008D12AC" w:rsidP="008D12AC">
      <w:pPr>
        <w:pStyle w:val="BodytextAgency"/>
        <w:rPr>
          <w:lang w:val="is-IS"/>
        </w:rPr>
      </w:pPr>
      <w:r w:rsidRPr="003A0091">
        <w:rPr>
          <w:lang w:val="is-IS"/>
        </w:rPr>
        <w:t>Í október 2022, veitti PRAC aðildarlandi ráð</w:t>
      </w:r>
      <w:r>
        <w:rPr>
          <w:lang w:val="is-IS"/>
        </w:rPr>
        <w:t>leggingar</w:t>
      </w:r>
      <w:r w:rsidRPr="003A0091">
        <w:rPr>
          <w:lang w:val="is-IS"/>
        </w:rPr>
        <w:t xml:space="preserve"> í tengslum við tegundar II breytingu fyrir lyf sem innih</w:t>
      </w:r>
      <w:r>
        <w:rPr>
          <w:lang w:val="is-IS"/>
        </w:rPr>
        <w:t>eldur</w:t>
      </w:r>
      <w:r w:rsidRPr="003A0091">
        <w:rPr>
          <w:lang w:val="is-IS"/>
        </w:rPr>
        <w:t xml:space="preserve"> metr</w:t>
      </w:r>
      <w:r>
        <w:rPr>
          <w:lang w:val="is-IS"/>
        </w:rPr>
        <w:t>ó</w:t>
      </w:r>
      <w:r w:rsidRPr="003A0091">
        <w:rPr>
          <w:lang w:val="is-IS"/>
        </w:rPr>
        <w:t>n</w:t>
      </w:r>
      <w:r>
        <w:rPr>
          <w:lang w:val="is-IS"/>
        </w:rPr>
        <w:t>í</w:t>
      </w:r>
      <w:r w:rsidRPr="003A0091">
        <w:rPr>
          <w:lang w:val="is-IS"/>
        </w:rPr>
        <w:t>dazól</w:t>
      </w:r>
      <w:r>
        <w:rPr>
          <w:lang w:val="is-IS"/>
        </w:rPr>
        <w:t xml:space="preserve"> og samþykkt</w:t>
      </w:r>
      <w:r w:rsidRPr="003A0091">
        <w:rPr>
          <w:lang w:val="is-IS"/>
        </w:rPr>
        <w:t xml:space="preserve"> </w:t>
      </w:r>
      <w:r>
        <w:rPr>
          <w:lang w:val="is-IS"/>
        </w:rPr>
        <w:t xml:space="preserve">er </w:t>
      </w:r>
      <w:r w:rsidRPr="003A0091">
        <w:rPr>
          <w:lang w:val="is-IS"/>
        </w:rPr>
        <w:t xml:space="preserve">til upprætingar </w:t>
      </w:r>
      <w:r w:rsidRPr="00534BC4">
        <w:rPr>
          <w:i/>
          <w:iCs/>
          <w:lang w:val="is-IS"/>
        </w:rPr>
        <w:t>H. pylori</w:t>
      </w:r>
      <w:r>
        <w:rPr>
          <w:lang w:val="is-IS"/>
        </w:rPr>
        <w:t>,</w:t>
      </w:r>
      <w:r w:rsidRPr="003A0091">
        <w:rPr>
          <w:lang w:val="is-IS"/>
        </w:rPr>
        <w:t xml:space="preserve"> að uppfæra skuli lyfjaupplýsingar til að bæta við frábendingu fyrir sjúklinga með Cockayne heilkenni og fella niður núverandi varúð (í kafla 4.4 í SmPC).</w:t>
      </w:r>
    </w:p>
    <w:p w14:paraId="3036788C" w14:textId="77777777" w:rsidR="008D12AC" w:rsidRPr="003A0091" w:rsidRDefault="008D12AC" w:rsidP="008D12AC">
      <w:pPr>
        <w:pStyle w:val="BodytextAgency"/>
        <w:rPr>
          <w:strike/>
          <w:lang w:val="is-IS"/>
        </w:rPr>
      </w:pPr>
      <w:r w:rsidRPr="003A0091">
        <w:rPr>
          <w:lang w:val="is-IS"/>
        </w:rPr>
        <w:t>Samþykkt var að bæta þessari frábendingu</w:t>
      </w:r>
      <w:r>
        <w:rPr>
          <w:lang w:val="is-IS"/>
        </w:rPr>
        <w:t xml:space="preserve"> inn</w:t>
      </w:r>
      <w:r w:rsidRPr="003A0091">
        <w:rPr>
          <w:lang w:val="is-IS"/>
        </w:rPr>
        <w:t xml:space="preserve"> (og fella niður núverandi varúð í kafla 4.4) í lyfjaupplýsingum allra lyfja sem innihalda metrónídazól (annað hvort sem stakt virkt efni eða í samsetningum) </w:t>
      </w:r>
      <w:r>
        <w:rPr>
          <w:lang w:val="is-IS"/>
        </w:rPr>
        <w:t>sem</w:t>
      </w:r>
      <w:r w:rsidRPr="003A0091">
        <w:rPr>
          <w:lang w:val="is-IS"/>
        </w:rPr>
        <w:t xml:space="preserve"> </w:t>
      </w:r>
      <w:r w:rsidRPr="006B2954">
        <w:rPr>
          <w:b/>
          <w:bCs/>
          <w:lang w:val="is-IS"/>
        </w:rPr>
        <w:t>einungis</w:t>
      </w:r>
      <w:r w:rsidRPr="003A0091">
        <w:rPr>
          <w:lang w:val="is-IS"/>
        </w:rPr>
        <w:t xml:space="preserve"> </w:t>
      </w:r>
      <w:r>
        <w:rPr>
          <w:lang w:val="is-IS"/>
        </w:rPr>
        <w:t>eru samþykkt til</w:t>
      </w:r>
      <w:r w:rsidRPr="003A0091">
        <w:rPr>
          <w:lang w:val="is-IS"/>
        </w:rPr>
        <w:t xml:space="preserve"> uppræting</w:t>
      </w:r>
      <w:r>
        <w:rPr>
          <w:lang w:val="is-IS"/>
        </w:rPr>
        <w:t>ar</w:t>
      </w:r>
      <w:r w:rsidRPr="003A0091">
        <w:rPr>
          <w:lang w:val="is-IS"/>
        </w:rPr>
        <w:t xml:space="preserve"> </w:t>
      </w:r>
      <w:r w:rsidRPr="00534BC4">
        <w:rPr>
          <w:i/>
          <w:iCs/>
          <w:lang w:val="is-IS"/>
        </w:rPr>
        <w:t>H. pylori</w:t>
      </w:r>
      <w:r w:rsidRPr="003A0091">
        <w:rPr>
          <w:lang w:val="is-IS"/>
        </w:rPr>
        <w:t xml:space="preserve"> (nýr texti sem bæta á við lyfjaupplýsingar er </w:t>
      </w:r>
      <w:r w:rsidRPr="002E15D8">
        <w:rPr>
          <w:b/>
          <w:bCs/>
          <w:u w:val="single"/>
          <w:lang w:val="is-IS"/>
        </w:rPr>
        <w:t>undirstrikaður og feitletraður</w:t>
      </w:r>
      <w:r w:rsidRPr="003A0091">
        <w:rPr>
          <w:lang w:val="is-IS"/>
        </w:rPr>
        <w:t xml:space="preserve">. Texti sem á að eyða er </w:t>
      </w:r>
      <w:r w:rsidRPr="003A0091">
        <w:rPr>
          <w:strike/>
          <w:lang w:val="is-IS"/>
        </w:rPr>
        <w:t>yfirstrikaður</w:t>
      </w:r>
      <w:r w:rsidRPr="002C60E0">
        <w:rPr>
          <w:lang w:val="is-IS"/>
        </w:rPr>
        <w:t>):</w:t>
      </w:r>
    </w:p>
    <w:p w14:paraId="34BB6BA7" w14:textId="77777777" w:rsidR="008D12AC" w:rsidRDefault="008D12AC" w:rsidP="008D12AC">
      <w:pPr>
        <w:pStyle w:val="BodytextAgency"/>
      </w:pPr>
    </w:p>
    <w:p w14:paraId="151DA283" w14:textId="77777777" w:rsidR="008D12AC" w:rsidRPr="003C3401" w:rsidRDefault="008D12AC" w:rsidP="008D12AC">
      <w:pPr>
        <w:pStyle w:val="BodytextAgency"/>
      </w:pPr>
      <w:proofErr w:type="spellStart"/>
      <w:r w:rsidRPr="003C3401">
        <w:rPr>
          <w:b/>
          <w:bCs/>
        </w:rPr>
        <w:t>S</w:t>
      </w:r>
      <w:r>
        <w:rPr>
          <w:b/>
          <w:bCs/>
        </w:rPr>
        <w:t>amantekt</w:t>
      </w:r>
      <w:proofErr w:type="spellEnd"/>
      <w:r>
        <w:rPr>
          <w:b/>
          <w:bCs/>
        </w:rPr>
        <w:t xml:space="preserve"> á </w:t>
      </w:r>
      <w:proofErr w:type="spellStart"/>
      <w:r>
        <w:rPr>
          <w:b/>
          <w:bCs/>
        </w:rPr>
        <w:t>eiginleikum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lyfs</w:t>
      </w:r>
      <w:proofErr w:type="spellEnd"/>
      <w:r w:rsidRPr="003C3401">
        <w:t>:</w:t>
      </w:r>
    </w:p>
    <w:p w14:paraId="2CF041F3" w14:textId="77777777" w:rsidR="008D12AC" w:rsidRPr="003C3401" w:rsidRDefault="008D12AC" w:rsidP="008D12AC">
      <w:pPr>
        <w:pStyle w:val="BodytextAgency"/>
      </w:pPr>
      <w:r w:rsidRPr="003C3401">
        <w:t xml:space="preserve">4.3 </w:t>
      </w:r>
      <w:proofErr w:type="spellStart"/>
      <w:r>
        <w:t>Frábendingar</w:t>
      </w:r>
      <w:proofErr w:type="spellEnd"/>
      <w:r w:rsidRPr="003C3401">
        <w:t xml:space="preserve"> </w:t>
      </w:r>
    </w:p>
    <w:p w14:paraId="181ED043" w14:textId="77777777" w:rsidR="008D12AC" w:rsidRPr="00534BC4" w:rsidRDefault="008D12AC" w:rsidP="008D12AC">
      <w:pPr>
        <w:pStyle w:val="BodytextAgency"/>
        <w:numPr>
          <w:ilvl w:val="0"/>
          <w:numId w:val="1"/>
        </w:numPr>
        <w:rPr>
          <w:b/>
          <w:bCs/>
          <w:u w:val="single"/>
        </w:rPr>
      </w:pPr>
      <w:proofErr w:type="spellStart"/>
      <w:r w:rsidRPr="00534BC4">
        <w:rPr>
          <w:b/>
          <w:bCs/>
          <w:u w:val="single"/>
        </w:rPr>
        <w:t>Sjúklingar</w:t>
      </w:r>
      <w:proofErr w:type="spellEnd"/>
      <w:r w:rsidRPr="00534BC4">
        <w:rPr>
          <w:b/>
          <w:bCs/>
          <w:u w:val="single"/>
        </w:rPr>
        <w:t xml:space="preserve"> með Cockayne </w:t>
      </w:r>
      <w:proofErr w:type="spellStart"/>
      <w:r w:rsidRPr="00534BC4">
        <w:rPr>
          <w:b/>
          <w:bCs/>
          <w:u w:val="single"/>
        </w:rPr>
        <w:t>heilkenni</w:t>
      </w:r>
      <w:proofErr w:type="spellEnd"/>
      <w:r w:rsidRPr="00534BC4">
        <w:rPr>
          <w:b/>
          <w:bCs/>
          <w:u w:val="single"/>
        </w:rPr>
        <w:t xml:space="preserve"> (</w:t>
      </w:r>
      <w:proofErr w:type="spellStart"/>
      <w:r w:rsidRPr="00534BC4">
        <w:rPr>
          <w:b/>
          <w:bCs/>
          <w:u w:val="single"/>
        </w:rPr>
        <w:t>sjá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kafla</w:t>
      </w:r>
      <w:proofErr w:type="spellEnd"/>
      <w:r w:rsidRPr="00534BC4">
        <w:rPr>
          <w:b/>
          <w:bCs/>
          <w:u w:val="single"/>
        </w:rPr>
        <w:t xml:space="preserve"> 4.8)</w:t>
      </w:r>
    </w:p>
    <w:p w14:paraId="71284AAA" w14:textId="77777777" w:rsidR="008D12AC" w:rsidRPr="003C3401" w:rsidRDefault="008D12AC" w:rsidP="008D12AC">
      <w:pPr>
        <w:pStyle w:val="BodytextAgency"/>
      </w:pPr>
      <w:r w:rsidRPr="003C3401">
        <w:t xml:space="preserve">4.4 </w:t>
      </w:r>
      <w:proofErr w:type="spellStart"/>
      <w:r>
        <w:t>Sérstök</w:t>
      </w:r>
      <w:proofErr w:type="spellEnd"/>
      <w:r>
        <w:t xml:space="preserve"> </w:t>
      </w:r>
      <w:proofErr w:type="spellStart"/>
      <w:r>
        <w:t>varnaðarorð</w:t>
      </w:r>
      <w:proofErr w:type="spellEnd"/>
      <w:r>
        <w:t xml:space="preserve"> og </w:t>
      </w:r>
      <w:proofErr w:type="spellStart"/>
      <w:r>
        <w:t>varúðarreglur</w:t>
      </w:r>
      <w:proofErr w:type="spellEnd"/>
      <w:r>
        <w:t xml:space="preserve"> við </w:t>
      </w:r>
      <w:proofErr w:type="spellStart"/>
      <w:r>
        <w:t>notkun</w:t>
      </w:r>
      <w:proofErr w:type="spellEnd"/>
    </w:p>
    <w:p w14:paraId="31C56208" w14:textId="77777777" w:rsidR="008D12AC" w:rsidRPr="005939C7" w:rsidRDefault="008D12AC" w:rsidP="008D12AC">
      <w:pPr>
        <w:pStyle w:val="BodytextAgency"/>
        <w:rPr>
          <w:strike/>
        </w:rPr>
      </w:pPr>
      <w:r>
        <w:t xml:space="preserve">(…) </w:t>
      </w:r>
      <w:proofErr w:type="spellStart"/>
      <w:r w:rsidRPr="005939C7">
        <w:rPr>
          <w:strike/>
        </w:rPr>
        <w:t>Greint</w:t>
      </w:r>
      <w:proofErr w:type="spellEnd"/>
      <w:r w:rsidRPr="005939C7">
        <w:rPr>
          <w:strike/>
        </w:rPr>
        <w:t xml:space="preserve"> hefur verið frá </w:t>
      </w:r>
      <w:proofErr w:type="spellStart"/>
      <w:r w:rsidRPr="005939C7">
        <w:rPr>
          <w:strike/>
        </w:rPr>
        <w:t>tilvikum</w:t>
      </w:r>
      <w:proofErr w:type="spellEnd"/>
      <w:r w:rsidRPr="005939C7">
        <w:rPr>
          <w:strike/>
        </w:rPr>
        <w:t xml:space="preserve"> um </w:t>
      </w:r>
      <w:proofErr w:type="spellStart"/>
      <w:r w:rsidRPr="005939C7">
        <w:rPr>
          <w:strike/>
        </w:rPr>
        <w:t>alvarlega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lifrareitrun</w:t>
      </w:r>
      <w:proofErr w:type="spellEnd"/>
      <w:r w:rsidRPr="005939C7">
        <w:rPr>
          <w:strike/>
        </w:rPr>
        <w:t>/</w:t>
      </w:r>
      <w:proofErr w:type="spellStart"/>
      <w:r w:rsidRPr="005939C7">
        <w:rPr>
          <w:strike/>
        </w:rPr>
        <w:t>bráða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lifrarbilun</w:t>
      </w:r>
      <w:proofErr w:type="spellEnd"/>
      <w:r w:rsidRPr="005939C7">
        <w:rPr>
          <w:strike/>
        </w:rPr>
        <w:t xml:space="preserve">, þ.m.t. </w:t>
      </w:r>
      <w:proofErr w:type="spellStart"/>
      <w:r w:rsidRPr="005939C7">
        <w:rPr>
          <w:strike/>
        </w:rPr>
        <w:t>tilvik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sem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ollu</w:t>
      </w:r>
      <w:proofErr w:type="spellEnd"/>
      <w:r w:rsidRPr="005939C7">
        <w:rPr>
          <w:strike/>
        </w:rPr>
        <w:t xml:space="preserve"> mjög </w:t>
      </w:r>
      <w:proofErr w:type="spellStart"/>
      <w:r w:rsidRPr="005939C7">
        <w:rPr>
          <w:strike/>
        </w:rPr>
        <w:t>skyndilegum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dauða</w:t>
      </w:r>
      <w:proofErr w:type="spellEnd"/>
      <w:r w:rsidRPr="005939C7">
        <w:rPr>
          <w:strike/>
        </w:rPr>
        <w:t xml:space="preserve"> eftir að </w:t>
      </w:r>
      <w:proofErr w:type="spellStart"/>
      <w:r w:rsidRPr="005939C7">
        <w:rPr>
          <w:strike/>
        </w:rPr>
        <w:t>meðferð</w:t>
      </w:r>
      <w:proofErr w:type="spellEnd"/>
      <w:r w:rsidRPr="005939C7">
        <w:rPr>
          <w:strike/>
        </w:rPr>
        <w:t xml:space="preserve"> var </w:t>
      </w:r>
      <w:proofErr w:type="spellStart"/>
      <w:r w:rsidRPr="005939C7">
        <w:rPr>
          <w:strike/>
        </w:rPr>
        <w:t>hafin</w:t>
      </w:r>
      <w:proofErr w:type="spellEnd"/>
      <w:r w:rsidRPr="005939C7">
        <w:rPr>
          <w:strike/>
        </w:rPr>
        <w:t xml:space="preserve"> með </w:t>
      </w:r>
      <w:proofErr w:type="spellStart"/>
      <w:r w:rsidRPr="005939C7">
        <w:rPr>
          <w:strike/>
        </w:rPr>
        <w:t>lyfjum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sem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innihéldu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metrónídazól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til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altækrar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notkunar</w:t>
      </w:r>
      <w:proofErr w:type="spellEnd"/>
      <w:r w:rsidRPr="005939C7">
        <w:rPr>
          <w:strike/>
        </w:rPr>
        <w:t xml:space="preserve"> hjá </w:t>
      </w:r>
      <w:proofErr w:type="spellStart"/>
      <w:r w:rsidRPr="005939C7">
        <w:rPr>
          <w:strike/>
        </w:rPr>
        <w:t>sjúklingum</w:t>
      </w:r>
      <w:proofErr w:type="spellEnd"/>
      <w:r w:rsidRPr="005939C7">
        <w:rPr>
          <w:strike/>
        </w:rPr>
        <w:t xml:space="preserve"> með Cockayne </w:t>
      </w:r>
      <w:proofErr w:type="spellStart"/>
      <w:r w:rsidRPr="005939C7">
        <w:rPr>
          <w:strike/>
        </w:rPr>
        <w:t>heilkenni</w:t>
      </w:r>
      <w:proofErr w:type="spellEnd"/>
      <w:r w:rsidRPr="005939C7">
        <w:rPr>
          <w:strike/>
        </w:rPr>
        <w:t xml:space="preserve">. Því </w:t>
      </w:r>
      <w:proofErr w:type="spellStart"/>
      <w:r w:rsidRPr="005939C7">
        <w:rPr>
          <w:strike/>
        </w:rPr>
        <w:t>skal</w:t>
      </w:r>
      <w:proofErr w:type="spellEnd"/>
      <w:r w:rsidRPr="005939C7">
        <w:rPr>
          <w:strike/>
        </w:rPr>
        <w:t xml:space="preserve"> nota </w:t>
      </w:r>
      <w:proofErr w:type="spellStart"/>
      <w:r w:rsidRPr="005939C7">
        <w:rPr>
          <w:strike/>
        </w:rPr>
        <w:t>metrónídazól</w:t>
      </w:r>
      <w:proofErr w:type="spellEnd"/>
      <w:r w:rsidRPr="005939C7">
        <w:rPr>
          <w:strike/>
        </w:rPr>
        <w:t xml:space="preserve"> eftir </w:t>
      </w:r>
      <w:proofErr w:type="spellStart"/>
      <w:r w:rsidRPr="005939C7">
        <w:rPr>
          <w:strike/>
        </w:rPr>
        <w:t>ítarlegt</w:t>
      </w:r>
      <w:proofErr w:type="spellEnd"/>
      <w:r w:rsidRPr="005939C7">
        <w:rPr>
          <w:strike/>
        </w:rPr>
        <w:t xml:space="preserve"> mat á </w:t>
      </w:r>
      <w:proofErr w:type="spellStart"/>
      <w:r w:rsidRPr="005939C7">
        <w:rPr>
          <w:strike/>
        </w:rPr>
        <w:t>ávinningi</w:t>
      </w:r>
      <w:proofErr w:type="spellEnd"/>
      <w:r w:rsidRPr="005939C7">
        <w:rPr>
          <w:strike/>
        </w:rPr>
        <w:t xml:space="preserve"> og áhættu hjá </w:t>
      </w:r>
      <w:proofErr w:type="spellStart"/>
      <w:r w:rsidRPr="005939C7">
        <w:rPr>
          <w:strike/>
        </w:rPr>
        <w:t>þessum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sjúklingahópi</w:t>
      </w:r>
      <w:proofErr w:type="spellEnd"/>
      <w:r w:rsidRPr="005939C7">
        <w:rPr>
          <w:strike/>
        </w:rPr>
        <w:t xml:space="preserve"> og </w:t>
      </w:r>
      <w:proofErr w:type="spellStart"/>
      <w:r w:rsidRPr="005939C7">
        <w:rPr>
          <w:strike/>
        </w:rPr>
        <w:t>aðeins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ef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engin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önnur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meðferð</w:t>
      </w:r>
      <w:proofErr w:type="spellEnd"/>
      <w:r w:rsidRPr="005939C7">
        <w:rPr>
          <w:strike/>
        </w:rPr>
        <w:t xml:space="preserve"> er </w:t>
      </w:r>
      <w:proofErr w:type="spellStart"/>
      <w:r w:rsidRPr="005939C7">
        <w:rPr>
          <w:strike/>
        </w:rPr>
        <w:t>tiltæk</w:t>
      </w:r>
      <w:proofErr w:type="spellEnd"/>
      <w:r w:rsidRPr="005939C7">
        <w:rPr>
          <w:strike/>
        </w:rPr>
        <w:t xml:space="preserve">. Gera verður </w:t>
      </w:r>
      <w:proofErr w:type="spellStart"/>
      <w:r w:rsidRPr="005939C7">
        <w:rPr>
          <w:strike/>
        </w:rPr>
        <w:t>próf</w:t>
      </w:r>
      <w:proofErr w:type="spellEnd"/>
      <w:r w:rsidRPr="005939C7">
        <w:rPr>
          <w:strike/>
        </w:rPr>
        <w:t xml:space="preserve"> á </w:t>
      </w:r>
      <w:proofErr w:type="spellStart"/>
      <w:r w:rsidRPr="005939C7">
        <w:rPr>
          <w:strike/>
        </w:rPr>
        <w:t>lifrarstarfsemi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rétt</w:t>
      </w:r>
      <w:proofErr w:type="spellEnd"/>
      <w:r w:rsidRPr="005939C7">
        <w:rPr>
          <w:strike/>
        </w:rPr>
        <w:t xml:space="preserve"> fyrir </w:t>
      </w:r>
      <w:proofErr w:type="spellStart"/>
      <w:r w:rsidRPr="005939C7">
        <w:rPr>
          <w:strike/>
        </w:rPr>
        <w:t>upphaf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meðferðar</w:t>
      </w:r>
      <w:proofErr w:type="spellEnd"/>
      <w:r w:rsidRPr="005939C7">
        <w:rPr>
          <w:strike/>
        </w:rPr>
        <w:t xml:space="preserve">, </w:t>
      </w:r>
      <w:proofErr w:type="spellStart"/>
      <w:r w:rsidRPr="005939C7">
        <w:rPr>
          <w:strike/>
        </w:rPr>
        <w:t>meðan</w:t>
      </w:r>
      <w:proofErr w:type="spellEnd"/>
      <w:r w:rsidRPr="005939C7">
        <w:rPr>
          <w:strike/>
        </w:rPr>
        <w:t xml:space="preserve"> á </w:t>
      </w:r>
      <w:proofErr w:type="spellStart"/>
      <w:r w:rsidRPr="005939C7">
        <w:rPr>
          <w:strike/>
        </w:rPr>
        <w:t>meðferð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stendur</w:t>
      </w:r>
      <w:proofErr w:type="spellEnd"/>
      <w:r w:rsidRPr="005939C7">
        <w:rPr>
          <w:strike/>
        </w:rPr>
        <w:t xml:space="preserve"> og eftir að </w:t>
      </w:r>
      <w:proofErr w:type="spellStart"/>
      <w:r w:rsidRPr="005939C7">
        <w:rPr>
          <w:strike/>
        </w:rPr>
        <w:t>henni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lýkur</w:t>
      </w:r>
      <w:proofErr w:type="spellEnd"/>
      <w:r w:rsidRPr="005939C7">
        <w:rPr>
          <w:strike/>
        </w:rPr>
        <w:t xml:space="preserve"> þar </w:t>
      </w:r>
      <w:proofErr w:type="spellStart"/>
      <w:r w:rsidRPr="005939C7">
        <w:rPr>
          <w:strike/>
        </w:rPr>
        <w:t>til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lifrargildi</w:t>
      </w:r>
      <w:proofErr w:type="spellEnd"/>
      <w:r w:rsidRPr="005939C7">
        <w:rPr>
          <w:strike/>
        </w:rPr>
        <w:t xml:space="preserve"> eru </w:t>
      </w:r>
      <w:proofErr w:type="spellStart"/>
      <w:r w:rsidRPr="005939C7">
        <w:rPr>
          <w:strike/>
        </w:rPr>
        <w:t>innan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eðlilegra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marka</w:t>
      </w:r>
      <w:proofErr w:type="spellEnd"/>
      <w:r w:rsidRPr="005939C7">
        <w:rPr>
          <w:strike/>
        </w:rPr>
        <w:t xml:space="preserve"> eða </w:t>
      </w:r>
      <w:proofErr w:type="spellStart"/>
      <w:r w:rsidRPr="005939C7">
        <w:rPr>
          <w:strike/>
        </w:rPr>
        <w:t>grunngildum</w:t>
      </w:r>
      <w:proofErr w:type="spellEnd"/>
      <w:r w:rsidRPr="005939C7">
        <w:rPr>
          <w:strike/>
        </w:rPr>
        <w:t xml:space="preserve"> hefur verið </w:t>
      </w:r>
      <w:proofErr w:type="spellStart"/>
      <w:r w:rsidRPr="005939C7">
        <w:rPr>
          <w:strike/>
        </w:rPr>
        <w:t>náð</w:t>
      </w:r>
      <w:proofErr w:type="spellEnd"/>
      <w:r w:rsidRPr="005939C7">
        <w:rPr>
          <w:strike/>
        </w:rPr>
        <w:t xml:space="preserve">. Ef </w:t>
      </w:r>
      <w:proofErr w:type="spellStart"/>
      <w:r w:rsidRPr="005939C7">
        <w:rPr>
          <w:strike/>
        </w:rPr>
        <w:t>lifrargildi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hækka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greinilega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meðan</w:t>
      </w:r>
      <w:proofErr w:type="spellEnd"/>
      <w:r w:rsidRPr="005939C7">
        <w:rPr>
          <w:strike/>
        </w:rPr>
        <w:t xml:space="preserve"> á </w:t>
      </w:r>
      <w:proofErr w:type="spellStart"/>
      <w:r w:rsidRPr="005939C7">
        <w:rPr>
          <w:strike/>
        </w:rPr>
        <w:t>meðferð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stendur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skal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hætta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meðferð</w:t>
      </w:r>
      <w:proofErr w:type="spellEnd"/>
      <w:r w:rsidRPr="005939C7">
        <w:rPr>
          <w:strike/>
        </w:rPr>
        <w:t xml:space="preserve"> með </w:t>
      </w:r>
      <w:proofErr w:type="spellStart"/>
      <w:r w:rsidRPr="005939C7">
        <w:rPr>
          <w:strike/>
        </w:rPr>
        <w:t>lyfinu</w:t>
      </w:r>
      <w:proofErr w:type="spellEnd"/>
      <w:r w:rsidRPr="005939C7">
        <w:rPr>
          <w:strike/>
        </w:rPr>
        <w:t xml:space="preserve">. </w:t>
      </w:r>
      <w:proofErr w:type="spellStart"/>
      <w:r w:rsidRPr="005939C7">
        <w:rPr>
          <w:strike/>
        </w:rPr>
        <w:t>Sjúklingum</w:t>
      </w:r>
      <w:proofErr w:type="spellEnd"/>
      <w:r w:rsidRPr="005939C7">
        <w:rPr>
          <w:strike/>
        </w:rPr>
        <w:t xml:space="preserve"> með Cockayne </w:t>
      </w:r>
      <w:proofErr w:type="spellStart"/>
      <w:r w:rsidRPr="005939C7">
        <w:rPr>
          <w:strike/>
        </w:rPr>
        <w:t>heilkenni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skal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ráðlagt</w:t>
      </w:r>
      <w:proofErr w:type="spellEnd"/>
      <w:r w:rsidRPr="005939C7">
        <w:rPr>
          <w:strike/>
        </w:rPr>
        <w:t xml:space="preserve"> að </w:t>
      </w:r>
      <w:proofErr w:type="spellStart"/>
      <w:r w:rsidRPr="005939C7">
        <w:rPr>
          <w:strike/>
        </w:rPr>
        <w:t>greina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lækninum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strax</w:t>
      </w:r>
      <w:proofErr w:type="spellEnd"/>
      <w:r w:rsidRPr="005939C7">
        <w:rPr>
          <w:strike/>
        </w:rPr>
        <w:t xml:space="preserve"> frá öllum </w:t>
      </w:r>
      <w:proofErr w:type="spellStart"/>
      <w:r w:rsidRPr="005939C7">
        <w:rPr>
          <w:strike/>
        </w:rPr>
        <w:t>einkennum</w:t>
      </w:r>
      <w:proofErr w:type="spellEnd"/>
      <w:r w:rsidRPr="005939C7">
        <w:rPr>
          <w:strike/>
        </w:rPr>
        <w:t xml:space="preserve"> um </w:t>
      </w:r>
      <w:proofErr w:type="spellStart"/>
      <w:r w:rsidRPr="005939C7">
        <w:rPr>
          <w:strike/>
        </w:rPr>
        <w:t>hugsanlegan</w:t>
      </w:r>
      <w:proofErr w:type="spellEnd"/>
      <w:r w:rsidRPr="005939C7">
        <w:rPr>
          <w:strike/>
        </w:rPr>
        <w:t xml:space="preserve"> </w:t>
      </w:r>
      <w:proofErr w:type="spellStart"/>
      <w:r w:rsidRPr="005939C7">
        <w:rPr>
          <w:strike/>
        </w:rPr>
        <w:t>lifrarskaða</w:t>
      </w:r>
      <w:proofErr w:type="spellEnd"/>
      <w:r w:rsidRPr="005939C7">
        <w:rPr>
          <w:strike/>
        </w:rPr>
        <w:t xml:space="preserve"> og </w:t>
      </w:r>
      <w:proofErr w:type="spellStart"/>
      <w:r w:rsidRPr="005939C7">
        <w:rPr>
          <w:strike/>
        </w:rPr>
        <w:t>hætta</w:t>
      </w:r>
      <w:proofErr w:type="spellEnd"/>
      <w:r w:rsidRPr="005939C7">
        <w:rPr>
          <w:strike/>
        </w:rPr>
        <w:t xml:space="preserve"> að taka </w:t>
      </w:r>
      <w:proofErr w:type="spellStart"/>
      <w:r w:rsidRPr="005939C7">
        <w:rPr>
          <w:strike/>
        </w:rPr>
        <w:t>metrónídazól</w:t>
      </w:r>
      <w:proofErr w:type="spellEnd"/>
      <w:r w:rsidRPr="005939C7">
        <w:rPr>
          <w:strike/>
        </w:rPr>
        <w:t>.</w:t>
      </w:r>
    </w:p>
    <w:p w14:paraId="7C4E938F" w14:textId="77777777" w:rsidR="008D12AC" w:rsidRPr="00A6396F" w:rsidRDefault="008D12AC" w:rsidP="008D12AC">
      <w:pPr>
        <w:pStyle w:val="BodytextAgency"/>
      </w:pPr>
      <w:r>
        <w:t>(</w:t>
      </w:r>
      <w:r w:rsidRPr="00A6396F">
        <w:t>…)</w:t>
      </w:r>
    </w:p>
    <w:p w14:paraId="6D7FE02A" w14:textId="77777777" w:rsidR="008D12AC" w:rsidRPr="00A6396F" w:rsidRDefault="008D12AC" w:rsidP="008D12AC">
      <w:pPr>
        <w:pStyle w:val="BodytextAgency"/>
      </w:pPr>
      <w:r w:rsidRPr="00A6396F">
        <w:t xml:space="preserve">4.8 </w:t>
      </w:r>
      <w:r>
        <w:t>Aukaverkanir</w:t>
      </w:r>
    </w:p>
    <w:p w14:paraId="5DC797FA" w14:textId="77777777" w:rsidR="008D12AC" w:rsidRPr="00A6396F" w:rsidRDefault="008D12AC" w:rsidP="008D12AC">
      <w:pPr>
        <w:pStyle w:val="BodytextAgency"/>
        <w:rPr>
          <w:i/>
          <w:iCs/>
        </w:rPr>
      </w:pPr>
      <w:proofErr w:type="spellStart"/>
      <w:r>
        <w:rPr>
          <w:i/>
          <w:iCs/>
        </w:rPr>
        <w:t>Tilkynnt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tilvik</w:t>
      </w:r>
      <w:proofErr w:type="spellEnd"/>
      <w:r>
        <w:rPr>
          <w:i/>
          <w:iCs/>
        </w:rPr>
        <w:t xml:space="preserve"> um aukaverkanir fyrir </w:t>
      </w:r>
      <w:proofErr w:type="spellStart"/>
      <w:r>
        <w:rPr>
          <w:i/>
          <w:iCs/>
        </w:rPr>
        <w:t>metrónídazól</w:t>
      </w:r>
      <w:proofErr w:type="spellEnd"/>
    </w:p>
    <w:p w14:paraId="4D1E413D" w14:textId="77777777" w:rsidR="008D12AC" w:rsidRPr="00534BC4" w:rsidRDefault="008D12AC" w:rsidP="008D12AC">
      <w:pPr>
        <w:pStyle w:val="BodytextAgency"/>
        <w:numPr>
          <w:ilvl w:val="0"/>
          <w:numId w:val="1"/>
        </w:numPr>
        <w:rPr>
          <w:b/>
          <w:bCs/>
          <w:u w:val="single"/>
        </w:rPr>
      </w:pPr>
      <w:proofErr w:type="spellStart"/>
      <w:r w:rsidRPr="00534BC4">
        <w:rPr>
          <w:b/>
          <w:bCs/>
          <w:u w:val="single"/>
        </w:rPr>
        <w:t>Greint</w:t>
      </w:r>
      <w:proofErr w:type="spellEnd"/>
      <w:r w:rsidRPr="00534BC4">
        <w:rPr>
          <w:b/>
          <w:bCs/>
          <w:u w:val="single"/>
        </w:rPr>
        <w:t xml:space="preserve"> hefur verið frá </w:t>
      </w:r>
      <w:proofErr w:type="spellStart"/>
      <w:r w:rsidRPr="00534BC4">
        <w:rPr>
          <w:b/>
          <w:bCs/>
          <w:u w:val="single"/>
        </w:rPr>
        <w:t>tilvikum</w:t>
      </w:r>
      <w:proofErr w:type="spellEnd"/>
      <w:r w:rsidRPr="00534BC4">
        <w:rPr>
          <w:b/>
          <w:bCs/>
          <w:u w:val="single"/>
        </w:rPr>
        <w:t xml:space="preserve"> um </w:t>
      </w:r>
      <w:proofErr w:type="spellStart"/>
      <w:r w:rsidRPr="00534BC4">
        <w:rPr>
          <w:b/>
          <w:bCs/>
          <w:u w:val="single"/>
        </w:rPr>
        <w:t>alvarlegar</w:t>
      </w:r>
      <w:proofErr w:type="spellEnd"/>
      <w:r w:rsidRPr="00534BC4">
        <w:rPr>
          <w:b/>
          <w:bCs/>
          <w:u w:val="single"/>
        </w:rPr>
        <w:t xml:space="preserve"> og </w:t>
      </w:r>
      <w:proofErr w:type="spellStart"/>
      <w:r w:rsidRPr="00534BC4">
        <w:rPr>
          <w:b/>
          <w:bCs/>
          <w:u w:val="single"/>
        </w:rPr>
        <w:t>óafturkræfar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eiturverkanir</w:t>
      </w:r>
      <w:proofErr w:type="spellEnd"/>
      <w:r w:rsidRPr="00534BC4">
        <w:rPr>
          <w:b/>
          <w:bCs/>
          <w:u w:val="single"/>
        </w:rPr>
        <w:t xml:space="preserve"> á </w:t>
      </w:r>
      <w:proofErr w:type="spellStart"/>
      <w:r w:rsidRPr="00534BC4">
        <w:rPr>
          <w:b/>
          <w:bCs/>
          <w:u w:val="single"/>
        </w:rPr>
        <w:t>lifur</w:t>
      </w:r>
      <w:proofErr w:type="spellEnd"/>
      <w:r w:rsidRPr="00534BC4">
        <w:rPr>
          <w:b/>
          <w:bCs/>
          <w:u w:val="single"/>
        </w:rPr>
        <w:t>/</w:t>
      </w:r>
      <w:proofErr w:type="spellStart"/>
      <w:r w:rsidRPr="00534BC4">
        <w:rPr>
          <w:b/>
          <w:bCs/>
          <w:u w:val="single"/>
        </w:rPr>
        <w:t>bráða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lifrarbilun</w:t>
      </w:r>
      <w:proofErr w:type="spellEnd"/>
      <w:r w:rsidRPr="00534BC4">
        <w:rPr>
          <w:b/>
          <w:bCs/>
          <w:u w:val="single"/>
        </w:rPr>
        <w:t xml:space="preserve">, þ.m.t. </w:t>
      </w:r>
      <w:proofErr w:type="spellStart"/>
      <w:r w:rsidRPr="00534BC4">
        <w:rPr>
          <w:b/>
          <w:bCs/>
          <w:u w:val="single"/>
        </w:rPr>
        <w:t>tilvik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sem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leiddu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til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dauðsfalla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sem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komu</w:t>
      </w:r>
      <w:proofErr w:type="spellEnd"/>
      <w:r w:rsidRPr="00534BC4">
        <w:rPr>
          <w:b/>
          <w:bCs/>
          <w:u w:val="single"/>
        </w:rPr>
        <w:t xml:space="preserve"> mjög </w:t>
      </w:r>
      <w:proofErr w:type="spellStart"/>
      <w:r w:rsidRPr="00534BC4">
        <w:rPr>
          <w:b/>
          <w:bCs/>
          <w:u w:val="single"/>
        </w:rPr>
        <w:t>skyndilega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fram</w:t>
      </w:r>
      <w:proofErr w:type="spellEnd"/>
      <w:r w:rsidRPr="00534BC4">
        <w:rPr>
          <w:b/>
          <w:bCs/>
          <w:u w:val="single"/>
        </w:rPr>
        <w:t xml:space="preserve"> eftir að </w:t>
      </w:r>
      <w:proofErr w:type="spellStart"/>
      <w:r w:rsidRPr="00534BC4">
        <w:rPr>
          <w:b/>
          <w:bCs/>
          <w:u w:val="single"/>
        </w:rPr>
        <w:t>meðferð</w:t>
      </w:r>
      <w:proofErr w:type="spellEnd"/>
      <w:r w:rsidRPr="00534BC4">
        <w:rPr>
          <w:b/>
          <w:bCs/>
          <w:u w:val="single"/>
        </w:rPr>
        <w:t xml:space="preserve"> með </w:t>
      </w:r>
      <w:proofErr w:type="spellStart"/>
      <w:r w:rsidRPr="00534BC4">
        <w:rPr>
          <w:b/>
          <w:bCs/>
          <w:u w:val="single"/>
        </w:rPr>
        <w:t>metróndíazóli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til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altækrar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notkunar</w:t>
      </w:r>
      <w:proofErr w:type="spellEnd"/>
      <w:r w:rsidRPr="00534BC4">
        <w:rPr>
          <w:b/>
          <w:bCs/>
          <w:u w:val="single"/>
        </w:rPr>
        <w:t xml:space="preserve"> var </w:t>
      </w:r>
      <w:proofErr w:type="spellStart"/>
      <w:r w:rsidRPr="00534BC4">
        <w:rPr>
          <w:b/>
          <w:bCs/>
          <w:u w:val="single"/>
        </w:rPr>
        <w:t>hafin</w:t>
      </w:r>
      <w:proofErr w:type="spellEnd"/>
      <w:r w:rsidRPr="00534BC4">
        <w:rPr>
          <w:b/>
          <w:bCs/>
          <w:u w:val="single"/>
        </w:rPr>
        <w:t xml:space="preserve">, hjá </w:t>
      </w:r>
      <w:proofErr w:type="spellStart"/>
      <w:r w:rsidRPr="00534BC4">
        <w:rPr>
          <w:b/>
          <w:bCs/>
          <w:u w:val="single"/>
        </w:rPr>
        <w:t>sjúklingum</w:t>
      </w:r>
      <w:proofErr w:type="spellEnd"/>
      <w:r w:rsidRPr="00534BC4">
        <w:rPr>
          <w:b/>
          <w:bCs/>
          <w:u w:val="single"/>
        </w:rPr>
        <w:t xml:space="preserve"> með Cockayne </w:t>
      </w:r>
      <w:proofErr w:type="spellStart"/>
      <w:r w:rsidRPr="00534BC4">
        <w:rPr>
          <w:b/>
          <w:bCs/>
          <w:u w:val="single"/>
        </w:rPr>
        <w:t>heilkenni</w:t>
      </w:r>
      <w:proofErr w:type="spellEnd"/>
      <w:r w:rsidRPr="00534BC4">
        <w:rPr>
          <w:b/>
          <w:bCs/>
          <w:u w:val="single"/>
        </w:rPr>
        <w:t xml:space="preserve"> (</w:t>
      </w:r>
      <w:proofErr w:type="spellStart"/>
      <w:r w:rsidRPr="00534BC4">
        <w:rPr>
          <w:b/>
          <w:bCs/>
          <w:u w:val="single"/>
        </w:rPr>
        <w:t>sjá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kafla</w:t>
      </w:r>
      <w:proofErr w:type="spellEnd"/>
      <w:r w:rsidRPr="00534BC4">
        <w:rPr>
          <w:b/>
          <w:bCs/>
          <w:u w:val="single"/>
        </w:rPr>
        <w:t xml:space="preserve"> 4.3).</w:t>
      </w:r>
    </w:p>
    <w:p w14:paraId="1CB99ED3" w14:textId="77777777" w:rsidR="008D12AC" w:rsidRDefault="008D12AC" w:rsidP="008D12AC">
      <w:pPr>
        <w:rPr>
          <w:rFonts w:eastAsia="Verdana"/>
          <w:b/>
          <w:bCs/>
        </w:rPr>
      </w:pPr>
      <w:r>
        <w:rPr>
          <w:b/>
          <w:bCs/>
        </w:rPr>
        <w:br w:type="page"/>
      </w:r>
    </w:p>
    <w:p w14:paraId="180EBA14" w14:textId="77777777" w:rsidR="008D12AC" w:rsidRDefault="008D12AC" w:rsidP="008D12AC">
      <w:pPr>
        <w:pStyle w:val="BodytextAgency"/>
        <w:rPr>
          <w:b/>
          <w:bCs/>
        </w:rPr>
      </w:pPr>
      <w:proofErr w:type="spellStart"/>
      <w:r>
        <w:rPr>
          <w:b/>
          <w:bCs/>
        </w:rPr>
        <w:lastRenderedPageBreak/>
        <w:t>Fylgiseðill</w:t>
      </w:r>
      <w:proofErr w:type="spellEnd"/>
      <w:r>
        <w:rPr>
          <w:b/>
          <w:bCs/>
        </w:rPr>
        <w:t>:</w:t>
      </w:r>
    </w:p>
    <w:p w14:paraId="0805584D" w14:textId="77777777" w:rsidR="008D12AC" w:rsidRPr="00824393" w:rsidRDefault="008D12AC" w:rsidP="008D12AC">
      <w:pPr>
        <w:pStyle w:val="BodytextAgency"/>
      </w:pPr>
      <w:proofErr w:type="spellStart"/>
      <w:r>
        <w:t>Kafli</w:t>
      </w:r>
      <w:proofErr w:type="spellEnd"/>
      <w:r w:rsidRPr="00824393">
        <w:t xml:space="preserve"> 2 </w:t>
      </w:r>
    </w:p>
    <w:p w14:paraId="50193CF1" w14:textId="77777777" w:rsidR="008D12AC" w:rsidRDefault="008D12AC" w:rsidP="008D12AC">
      <w:pPr>
        <w:pStyle w:val="BodytextAgency"/>
      </w:pPr>
      <w:r>
        <w:t>Ekki má nota</w:t>
      </w:r>
      <w:r w:rsidRPr="00824393">
        <w:t xml:space="preserve"> [</w:t>
      </w:r>
      <w:proofErr w:type="spellStart"/>
      <w:r>
        <w:t>lyfjaheiti</w:t>
      </w:r>
      <w:proofErr w:type="spellEnd"/>
      <w:r w:rsidRPr="00824393">
        <w:t>]</w:t>
      </w:r>
    </w:p>
    <w:p w14:paraId="7343C184" w14:textId="77777777" w:rsidR="008D12AC" w:rsidRPr="00824393" w:rsidRDefault="008D12AC" w:rsidP="008D12AC">
      <w:pPr>
        <w:pStyle w:val="BodytextAgency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ef</w:t>
      </w:r>
      <w:proofErr w:type="spellEnd"/>
      <w:r>
        <w:rPr>
          <w:b/>
          <w:bCs/>
          <w:u w:val="single"/>
        </w:rPr>
        <w:t xml:space="preserve"> þú </w:t>
      </w:r>
      <w:proofErr w:type="spellStart"/>
      <w:r>
        <w:rPr>
          <w:b/>
          <w:bCs/>
          <w:u w:val="single"/>
        </w:rPr>
        <w:t>ert</w:t>
      </w:r>
      <w:proofErr w:type="spellEnd"/>
      <w:r>
        <w:rPr>
          <w:b/>
          <w:bCs/>
          <w:u w:val="single"/>
        </w:rPr>
        <w:t xml:space="preserve"> með </w:t>
      </w:r>
      <w:r w:rsidRPr="00824393">
        <w:rPr>
          <w:b/>
          <w:bCs/>
          <w:u w:val="single"/>
        </w:rPr>
        <w:t xml:space="preserve">Cockayne </w:t>
      </w:r>
      <w:proofErr w:type="spellStart"/>
      <w:r>
        <w:rPr>
          <w:b/>
          <w:bCs/>
          <w:u w:val="single"/>
        </w:rPr>
        <w:t>heilkenni</w:t>
      </w:r>
      <w:proofErr w:type="spellEnd"/>
      <w:r w:rsidRPr="00824393">
        <w:rPr>
          <w:b/>
          <w:bCs/>
          <w:u w:val="single"/>
        </w:rPr>
        <w:t xml:space="preserve"> (</w:t>
      </w:r>
      <w:proofErr w:type="spellStart"/>
      <w:r w:rsidRPr="00824393">
        <w:rPr>
          <w:b/>
          <w:bCs/>
          <w:u w:val="single"/>
        </w:rPr>
        <w:t>s</w:t>
      </w:r>
      <w:r>
        <w:rPr>
          <w:b/>
          <w:bCs/>
          <w:u w:val="single"/>
        </w:rPr>
        <w:t>já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Varnaðarorð</w:t>
      </w:r>
      <w:proofErr w:type="spellEnd"/>
      <w:r>
        <w:rPr>
          <w:b/>
          <w:bCs/>
          <w:u w:val="single"/>
        </w:rPr>
        <w:t xml:space="preserve"> og </w:t>
      </w:r>
      <w:proofErr w:type="spellStart"/>
      <w:r>
        <w:rPr>
          <w:b/>
          <w:bCs/>
          <w:u w:val="single"/>
        </w:rPr>
        <w:t>varúðarreglur</w:t>
      </w:r>
      <w:proofErr w:type="spellEnd"/>
      <w:r w:rsidRPr="00824393">
        <w:rPr>
          <w:b/>
          <w:bCs/>
          <w:u w:val="single"/>
        </w:rPr>
        <w:t>)</w:t>
      </w:r>
    </w:p>
    <w:p w14:paraId="0963C83D" w14:textId="77777777" w:rsidR="008D12AC" w:rsidRPr="00990D7F" w:rsidRDefault="008D12AC" w:rsidP="008D12AC">
      <w:pPr>
        <w:pStyle w:val="BodytextAgency"/>
      </w:pPr>
      <w:proofErr w:type="spellStart"/>
      <w:r>
        <w:t>Varnaðarorð</w:t>
      </w:r>
      <w:proofErr w:type="spellEnd"/>
      <w:r>
        <w:t xml:space="preserve"> og </w:t>
      </w:r>
      <w:proofErr w:type="spellStart"/>
      <w:r>
        <w:t>varúðarreglur</w:t>
      </w:r>
      <w:proofErr w:type="spellEnd"/>
    </w:p>
    <w:p w14:paraId="54057332" w14:textId="77777777" w:rsidR="008D12AC" w:rsidRPr="00990D7F" w:rsidRDefault="008D12AC" w:rsidP="008D12AC">
      <w:pPr>
        <w:pStyle w:val="BodytextAgency"/>
        <w:rPr>
          <w:i/>
          <w:iCs/>
        </w:rPr>
      </w:pPr>
      <w:proofErr w:type="spellStart"/>
      <w:r>
        <w:t>Leitið</w:t>
      </w:r>
      <w:proofErr w:type="spellEnd"/>
      <w:r>
        <w:t xml:space="preserve"> </w:t>
      </w:r>
      <w:proofErr w:type="spellStart"/>
      <w:r>
        <w:t>ráða</w:t>
      </w:r>
      <w:proofErr w:type="spellEnd"/>
      <w:r>
        <w:t xml:space="preserve"> hjá </w:t>
      </w:r>
      <w:proofErr w:type="spellStart"/>
      <w:r>
        <w:t>lækninum</w:t>
      </w:r>
      <w:proofErr w:type="spellEnd"/>
      <w:r>
        <w:t xml:space="preserve"> eða </w:t>
      </w:r>
      <w:proofErr w:type="spellStart"/>
      <w:r>
        <w:t>lyfjafræðingi</w:t>
      </w:r>
      <w:proofErr w:type="spellEnd"/>
      <w:r>
        <w:t xml:space="preserve"> áður en [</w:t>
      </w:r>
      <w:proofErr w:type="spellStart"/>
      <w:r>
        <w:t>lyfjaheiti</w:t>
      </w:r>
      <w:proofErr w:type="spellEnd"/>
      <w:r>
        <w:t xml:space="preserve">] er </w:t>
      </w:r>
      <w:proofErr w:type="spellStart"/>
      <w:r>
        <w:t>notað</w:t>
      </w:r>
      <w:proofErr w:type="spellEnd"/>
      <w:r>
        <w:t xml:space="preserve">. </w:t>
      </w:r>
    </w:p>
    <w:p w14:paraId="7021375A" w14:textId="77777777" w:rsidR="008D12AC" w:rsidRPr="002C60E0" w:rsidRDefault="008D12AC" w:rsidP="008D12AC">
      <w:pPr>
        <w:pStyle w:val="BodytextAgency"/>
        <w:rPr>
          <w:b/>
          <w:bCs/>
          <w:color w:val="000000" w:themeColor="text1"/>
        </w:rPr>
      </w:pPr>
      <w:proofErr w:type="spellStart"/>
      <w:r w:rsidRPr="002C60E0">
        <w:rPr>
          <w:strike/>
        </w:rPr>
        <w:t>Greint</w:t>
      </w:r>
      <w:proofErr w:type="spellEnd"/>
      <w:r w:rsidRPr="002C60E0">
        <w:rPr>
          <w:strike/>
        </w:rPr>
        <w:t xml:space="preserve"> hefur verið frá </w:t>
      </w:r>
      <w:proofErr w:type="spellStart"/>
      <w:r w:rsidRPr="002C60E0">
        <w:rPr>
          <w:strike/>
        </w:rPr>
        <w:t>tilvikum</w:t>
      </w:r>
      <w:proofErr w:type="spellEnd"/>
      <w:r w:rsidRPr="002C60E0">
        <w:rPr>
          <w:strike/>
        </w:rPr>
        <w:t xml:space="preserve"> um </w:t>
      </w:r>
      <w:proofErr w:type="spellStart"/>
      <w:r w:rsidRPr="002C60E0">
        <w:rPr>
          <w:strike/>
        </w:rPr>
        <w:t>alvarlega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lifrareitrun</w:t>
      </w:r>
      <w:proofErr w:type="spellEnd"/>
      <w:r w:rsidRPr="002C60E0">
        <w:rPr>
          <w:strike/>
        </w:rPr>
        <w:t>/</w:t>
      </w:r>
      <w:proofErr w:type="spellStart"/>
      <w:r w:rsidRPr="002C60E0">
        <w:rPr>
          <w:strike/>
        </w:rPr>
        <w:t>bráða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lifrarbilun</w:t>
      </w:r>
      <w:proofErr w:type="spellEnd"/>
      <w:r w:rsidRPr="002C60E0">
        <w:rPr>
          <w:strike/>
        </w:rPr>
        <w:t xml:space="preserve">, þ.m.t. </w:t>
      </w:r>
      <w:proofErr w:type="spellStart"/>
      <w:r w:rsidRPr="002C60E0">
        <w:rPr>
          <w:strike/>
        </w:rPr>
        <w:t>tilvik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sem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ollu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dauða</w:t>
      </w:r>
      <w:proofErr w:type="spellEnd"/>
      <w:r w:rsidRPr="002C60E0">
        <w:rPr>
          <w:strike/>
        </w:rPr>
        <w:t xml:space="preserve">, við </w:t>
      </w:r>
      <w:proofErr w:type="spellStart"/>
      <w:r w:rsidRPr="002C60E0">
        <w:rPr>
          <w:strike/>
        </w:rPr>
        <w:t>notkun</w:t>
      </w:r>
      <w:proofErr w:type="spellEnd"/>
      <w:r w:rsidRPr="002C60E0">
        <w:rPr>
          <w:strike/>
        </w:rPr>
        <w:t xml:space="preserve"> lyfja </w:t>
      </w:r>
      <w:proofErr w:type="spellStart"/>
      <w:r w:rsidRPr="002C60E0">
        <w:rPr>
          <w:strike/>
        </w:rPr>
        <w:t>sem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innihalda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metrónídazól</w:t>
      </w:r>
      <w:proofErr w:type="spellEnd"/>
      <w:r w:rsidRPr="002C60E0">
        <w:rPr>
          <w:strike/>
        </w:rPr>
        <w:t xml:space="preserve">, hjá </w:t>
      </w:r>
      <w:proofErr w:type="spellStart"/>
      <w:r w:rsidRPr="002C60E0">
        <w:rPr>
          <w:strike/>
        </w:rPr>
        <w:t>sjúklingum</w:t>
      </w:r>
      <w:proofErr w:type="spellEnd"/>
      <w:r w:rsidRPr="002C60E0">
        <w:rPr>
          <w:strike/>
        </w:rPr>
        <w:t xml:space="preserve"> með Cockayne </w:t>
      </w:r>
      <w:proofErr w:type="spellStart"/>
      <w:r w:rsidRPr="002C60E0">
        <w:rPr>
          <w:strike/>
        </w:rPr>
        <w:t>heilkenni</w:t>
      </w:r>
      <w:proofErr w:type="spellEnd"/>
      <w:r w:rsidRPr="002C60E0">
        <w:rPr>
          <w:strike/>
        </w:rPr>
        <w:t xml:space="preserve"> (</w:t>
      </w:r>
      <w:proofErr w:type="spellStart"/>
      <w:r w:rsidRPr="002C60E0">
        <w:rPr>
          <w:strike/>
        </w:rPr>
        <w:t>arfgengur</w:t>
      </w:r>
      <w:proofErr w:type="spellEnd"/>
      <w:r w:rsidRPr="002C60E0">
        <w:rPr>
          <w:strike/>
        </w:rPr>
        <w:t xml:space="preserve"> </w:t>
      </w:r>
      <w:proofErr w:type="spellStart"/>
      <w:r w:rsidRPr="002C60E0">
        <w:rPr>
          <w:strike/>
        </w:rPr>
        <w:t>taugasjúkdómur</w:t>
      </w:r>
      <w:proofErr w:type="spellEnd"/>
      <w:r w:rsidRPr="002C60E0">
        <w:rPr>
          <w:strike/>
        </w:rPr>
        <w:t xml:space="preserve">). </w:t>
      </w:r>
      <w:r>
        <w:t xml:space="preserve"> </w:t>
      </w:r>
      <w:proofErr w:type="spellStart"/>
      <w:r>
        <w:rPr>
          <w:b/>
          <w:bCs/>
        </w:rPr>
        <w:t>Greint</w:t>
      </w:r>
      <w:proofErr w:type="spellEnd"/>
      <w:r>
        <w:rPr>
          <w:b/>
          <w:bCs/>
        </w:rPr>
        <w:t xml:space="preserve"> hefur verið frá </w:t>
      </w:r>
      <w:proofErr w:type="spellStart"/>
      <w:r>
        <w:rPr>
          <w:b/>
          <w:bCs/>
        </w:rPr>
        <w:t>t</w:t>
      </w:r>
      <w:r w:rsidRPr="002C60E0">
        <w:rPr>
          <w:b/>
          <w:bCs/>
        </w:rPr>
        <w:t>ilvik</w:t>
      </w:r>
      <w:r>
        <w:rPr>
          <w:b/>
          <w:bCs/>
        </w:rPr>
        <w:t>um</w:t>
      </w:r>
      <w:proofErr w:type="spellEnd"/>
      <w:r w:rsidRPr="002C60E0">
        <w:rPr>
          <w:b/>
          <w:bCs/>
        </w:rPr>
        <w:t xml:space="preserve"> um </w:t>
      </w:r>
      <w:proofErr w:type="spellStart"/>
      <w:r w:rsidRPr="002C60E0">
        <w:rPr>
          <w:b/>
          <w:bCs/>
        </w:rPr>
        <w:t>alvarlega</w:t>
      </w:r>
      <w:r>
        <w:rPr>
          <w:b/>
          <w:bCs/>
        </w:rPr>
        <w:t>r</w:t>
      </w:r>
      <w:proofErr w:type="spellEnd"/>
      <w:r w:rsidRPr="002C60E0">
        <w:rPr>
          <w:b/>
          <w:bCs/>
        </w:rPr>
        <w:t xml:space="preserve"> og </w:t>
      </w:r>
      <w:proofErr w:type="spellStart"/>
      <w:r w:rsidRPr="002C60E0">
        <w:rPr>
          <w:b/>
          <w:bCs/>
        </w:rPr>
        <w:t>óafturkræfa</w:t>
      </w:r>
      <w:r>
        <w:rPr>
          <w:b/>
          <w:bCs/>
        </w:rPr>
        <w:t>r</w:t>
      </w:r>
      <w:proofErr w:type="spellEnd"/>
      <w:r w:rsidRPr="002C60E0">
        <w:rPr>
          <w:b/>
          <w:bCs/>
        </w:rPr>
        <w:t xml:space="preserve"> </w:t>
      </w:r>
      <w:proofErr w:type="spellStart"/>
      <w:r>
        <w:rPr>
          <w:b/>
          <w:bCs/>
        </w:rPr>
        <w:t>eiturverkanir</w:t>
      </w:r>
      <w:proofErr w:type="spellEnd"/>
      <w:r>
        <w:rPr>
          <w:b/>
          <w:bCs/>
        </w:rPr>
        <w:t xml:space="preserve"> á </w:t>
      </w:r>
      <w:proofErr w:type="spellStart"/>
      <w:r>
        <w:rPr>
          <w:b/>
          <w:bCs/>
        </w:rPr>
        <w:t>lifur</w:t>
      </w:r>
      <w:proofErr w:type="spellEnd"/>
      <w:r w:rsidRPr="002C60E0">
        <w:rPr>
          <w:b/>
          <w:bCs/>
        </w:rPr>
        <w:t>/</w:t>
      </w:r>
      <w:proofErr w:type="spellStart"/>
      <w:r w:rsidRPr="002C60E0">
        <w:rPr>
          <w:b/>
          <w:bCs/>
        </w:rPr>
        <w:t>bráð</w:t>
      </w:r>
      <w:r>
        <w:rPr>
          <w:b/>
          <w:bCs/>
        </w:rPr>
        <w:t>a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lifrarbilun</w:t>
      </w:r>
      <w:proofErr w:type="spellEnd"/>
      <w:r w:rsidRPr="002C60E0">
        <w:rPr>
          <w:b/>
          <w:bCs/>
        </w:rPr>
        <w:t xml:space="preserve">, þar með </w:t>
      </w:r>
      <w:proofErr w:type="spellStart"/>
      <w:r w:rsidRPr="002C60E0">
        <w:rPr>
          <w:b/>
          <w:bCs/>
        </w:rPr>
        <w:t>talin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tilvik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sem</w:t>
      </w:r>
      <w:proofErr w:type="spellEnd"/>
      <w:r w:rsidRPr="002C60E0">
        <w:rPr>
          <w:b/>
          <w:bCs/>
        </w:rPr>
        <w:t xml:space="preserve"> hafa </w:t>
      </w:r>
      <w:proofErr w:type="spellStart"/>
      <w:r w:rsidRPr="002C60E0">
        <w:rPr>
          <w:b/>
          <w:bCs/>
        </w:rPr>
        <w:t>leitt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til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dauðsfalla</w:t>
      </w:r>
      <w:proofErr w:type="spellEnd"/>
      <w:r>
        <w:rPr>
          <w:b/>
          <w:bCs/>
        </w:rPr>
        <w:t>,</w:t>
      </w:r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sem</w:t>
      </w:r>
      <w:proofErr w:type="spellEnd"/>
      <w:r w:rsidRPr="002C60E0">
        <w:rPr>
          <w:b/>
          <w:bCs/>
        </w:rPr>
        <w:t xml:space="preserve"> </w:t>
      </w:r>
      <w:proofErr w:type="spellStart"/>
      <w:r>
        <w:rPr>
          <w:b/>
          <w:bCs/>
        </w:rPr>
        <w:t>komu</w:t>
      </w:r>
      <w:proofErr w:type="spellEnd"/>
      <w:r w:rsidRPr="002C60E0">
        <w:rPr>
          <w:b/>
          <w:bCs/>
        </w:rPr>
        <w:t xml:space="preserve"> mjög </w:t>
      </w:r>
      <w:proofErr w:type="spellStart"/>
      <w:r w:rsidRPr="002C60E0">
        <w:rPr>
          <w:b/>
          <w:bCs/>
        </w:rPr>
        <w:t>skyndilega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fram</w:t>
      </w:r>
      <w:proofErr w:type="spellEnd"/>
      <w:r w:rsidRPr="002C60E0">
        <w:rPr>
          <w:b/>
          <w:bCs/>
        </w:rPr>
        <w:t xml:space="preserve"> eftir að </w:t>
      </w:r>
      <w:proofErr w:type="spellStart"/>
      <w:r w:rsidRPr="002C60E0">
        <w:rPr>
          <w:b/>
          <w:bCs/>
        </w:rPr>
        <w:t>meðferð</w:t>
      </w:r>
      <w:proofErr w:type="spellEnd"/>
      <w:r w:rsidRPr="002C60E0">
        <w:rPr>
          <w:b/>
          <w:bCs/>
        </w:rPr>
        <w:t xml:space="preserve"> með </w:t>
      </w:r>
      <w:proofErr w:type="spellStart"/>
      <w:r w:rsidRPr="002C60E0">
        <w:rPr>
          <w:b/>
          <w:bCs/>
        </w:rPr>
        <w:t>metrónídazóli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til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inntöku</w:t>
      </w:r>
      <w:proofErr w:type="spellEnd"/>
      <w:r w:rsidRPr="002C60E0">
        <w:rPr>
          <w:b/>
          <w:bCs/>
        </w:rPr>
        <w:t xml:space="preserve"> </w:t>
      </w:r>
      <w:proofErr w:type="spellStart"/>
      <w:r w:rsidRPr="002C60E0">
        <w:rPr>
          <w:b/>
          <w:bCs/>
        </w:rPr>
        <w:t>hófst</w:t>
      </w:r>
      <w:proofErr w:type="spellEnd"/>
      <w:r>
        <w:rPr>
          <w:b/>
          <w:bCs/>
        </w:rPr>
        <w:t>,</w:t>
      </w:r>
      <w:r w:rsidRPr="002C60E0">
        <w:rPr>
          <w:b/>
          <w:bCs/>
        </w:rPr>
        <w:t xml:space="preserve"> hjá </w:t>
      </w:r>
      <w:proofErr w:type="spellStart"/>
      <w:r w:rsidRPr="002C60E0">
        <w:rPr>
          <w:b/>
          <w:bCs/>
        </w:rPr>
        <w:t>sjúklingum</w:t>
      </w:r>
      <w:proofErr w:type="spellEnd"/>
      <w:r w:rsidRPr="002C60E0">
        <w:rPr>
          <w:b/>
          <w:bCs/>
        </w:rPr>
        <w:t xml:space="preserve"> með Cockayne </w:t>
      </w:r>
      <w:proofErr w:type="spellStart"/>
      <w:r w:rsidRPr="002C60E0">
        <w:rPr>
          <w:b/>
          <w:bCs/>
        </w:rPr>
        <w:t>heilkenni</w:t>
      </w:r>
      <w:proofErr w:type="spellEnd"/>
      <w:r w:rsidRPr="002C60E0">
        <w:rPr>
          <w:b/>
          <w:bCs/>
        </w:rPr>
        <w:t xml:space="preserve">. </w:t>
      </w:r>
    </w:p>
    <w:p w14:paraId="45557101" w14:textId="77777777" w:rsidR="008D12AC" w:rsidRPr="00217266" w:rsidRDefault="008D12AC" w:rsidP="008D12AC">
      <w:pPr>
        <w:pStyle w:val="BodytextAgency"/>
        <w:rPr>
          <w:i/>
          <w:iCs/>
          <w:strike/>
          <w:color w:val="000000" w:themeColor="text1"/>
        </w:rPr>
      </w:pPr>
      <w:r w:rsidRPr="00217266">
        <w:rPr>
          <w:strike/>
        </w:rPr>
        <w:t xml:space="preserve">Ef þú </w:t>
      </w:r>
      <w:proofErr w:type="spellStart"/>
      <w:r w:rsidRPr="00217266">
        <w:rPr>
          <w:strike/>
        </w:rPr>
        <w:t>ert</w:t>
      </w:r>
      <w:proofErr w:type="spellEnd"/>
      <w:r w:rsidRPr="00217266">
        <w:rPr>
          <w:strike/>
        </w:rPr>
        <w:t xml:space="preserve"> með Cockayne </w:t>
      </w:r>
      <w:proofErr w:type="spellStart"/>
      <w:r w:rsidRPr="00217266">
        <w:rPr>
          <w:strike/>
        </w:rPr>
        <w:t>heilkenni</w:t>
      </w:r>
      <w:proofErr w:type="spellEnd"/>
      <w:r w:rsidRPr="00217266">
        <w:rPr>
          <w:strike/>
        </w:rPr>
        <w:t xml:space="preserve"> á </w:t>
      </w:r>
      <w:proofErr w:type="spellStart"/>
      <w:r w:rsidRPr="00217266">
        <w:rPr>
          <w:strike/>
        </w:rPr>
        <w:t>læknirinn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einnig</w:t>
      </w:r>
      <w:proofErr w:type="spellEnd"/>
      <w:r w:rsidRPr="00217266">
        <w:rPr>
          <w:strike/>
        </w:rPr>
        <w:t xml:space="preserve"> að </w:t>
      </w:r>
      <w:proofErr w:type="spellStart"/>
      <w:r w:rsidRPr="00217266">
        <w:rPr>
          <w:strike/>
        </w:rPr>
        <w:t>gera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tíðar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mælingar</w:t>
      </w:r>
      <w:proofErr w:type="spellEnd"/>
      <w:r w:rsidRPr="00217266">
        <w:rPr>
          <w:strike/>
        </w:rPr>
        <w:t xml:space="preserve"> á </w:t>
      </w:r>
      <w:proofErr w:type="spellStart"/>
      <w:r w:rsidRPr="00217266">
        <w:rPr>
          <w:strike/>
        </w:rPr>
        <w:t>lifrarstarfseminni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meðan</w:t>
      </w:r>
      <w:proofErr w:type="spellEnd"/>
      <w:r w:rsidRPr="00217266">
        <w:rPr>
          <w:strike/>
        </w:rPr>
        <w:t xml:space="preserve"> þú </w:t>
      </w:r>
      <w:proofErr w:type="spellStart"/>
      <w:r w:rsidRPr="00217266">
        <w:rPr>
          <w:strike/>
        </w:rPr>
        <w:t>færð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meðferð</w:t>
      </w:r>
      <w:proofErr w:type="spellEnd"/>
      <w:r w:rsidRPr="00217266">
        <w:rPr>
          <w:strike/>
        </w:rPr>
        <w:t xml:space="preserve"> með </w:t>
      </w:r>
      <w:proofErr w:type="spellStart"/>
      <w:r w:rsidRPr="00217266">
        <w:rPr>
          <w:strike/>
        </w:rPr>
        <w:t>metrónídazóli</w:t>
      </w:r>
      <w:proofErr w:type="spellEnd"/>
      <w:r w:rsidRPr="00217266">
        <w:rPr>
          <w:strike/>
        </w:rPr>
        <w:t xml:space="preserve"> og eftir að </w:t>
      </w:r>
      <w:proofErr w:type="spellStart"/>
      <w:r w:rsidRPr="00217266">
        <w:rPr>
          <w:strike/>
        </w:rPr>
        <w:t>henni</w:t>
      </w:r>
      <w:proofErr w:type="spellEnd"/>
      <w:r w:rsidRPr="00217266">
        <w:rPr>
          <w:strike/>
        </w:rPr>
        <w:t xml:space="preserve"> </w:t>
      </w:r>
      <w:proofErr w:type="spellStart"/>
      <w:r w:rsidRPr="00217266">
        <w:rPr>
          <w:strike/>
        </w:rPr>
        <w:t>lýkur</w:t>
      </w:r>
      <w:proofErr w:type="spellEnd"/>
      <w:r w:rsidRPr="00217266">
        <w:rPr>
          <w:strike/>
        </w:rPr>
        <w:t>.</w:t>
      </w:r>
    </w:p>
    <w:p w14:paraId="79DD1032" w14:textId="77777777" w:rsidR="008D12AC" w:rsidRPr="00990D7F" w:rsidRDefault="008D12AC" w:rsidP="008D12AC">
      <w:pPr>
        <w:pStyle w:val="BodytextAgency"/>
      </w:pPr>
    </w:p>
    <w:p w14:paraId="30C35064" w14:textId="77777777" w:rsidR="008D12AC" w:rsidRPr="0059796E" w:rsidRDefault="008D12AC" w:rsidP="008D12AC">
      <w:pPr>
        <w:pStyle w:val="BodytextAgency"/>
        <w:rPr>
          <w:lang w:val="is-IS"/>
        </w:rPr>
      </w:pPr>
      <w:r w:rsidRPr="0059796E">
        <w:rPr>
          <w:lang w:val="is-IS"/>
        </w:rPr>
        <w:t>MLH annarra lyfja sem innihalda metrónídazól (annað hvort sem stakt virkt efni eða í samsetningu</w:t>
      </w:r>
      <w:r>
        <w:rPr>
          <w:lang w:val="is-IS"/>
        </w:rPr>
        <w:t>m</w:t>
      </w:r>
      <w:r w:rsidRPr="0059796E">
        <w:rPr>
          <w:lang w:val="is-IS"/>
        </w:rPr>
        <w:t xml:space="preserve">, að frátöldum </w:t>
      </w:r>
      <w:r>
        <w:rPr>
          <w:lang w:val="is-IS"/>
        </w:rPr>
        <w:t xml:space="preserve">þeim sem eru ætluð </w:t>
      </w:r>
      <w:r w:rsidRPr="0059796E">
        <w:rPr>
          <w:lang w:val="is-IS"/>
        </w:rPr>
        <w:t>til útvortis</w:t>
      </w:r>
      <w:r>
        <w:rPr>
          <w:lang w:val="is-IS"/>
        </w:rPr>
        <w:t xml:space="preserve"> notkunar</w:t>
      </w:r>
      <w:r w:rsidRPr="0059796E">
        <w:rPr>
          <w:lang w:val="is-IS"/>
        </w:rPr>
        <w:t xml:space="preserve"> á húð) </w:t>
      </w:r>
      <w:r>
        <w:rPr>
          <w:lang w:val="is-IS"/>
        </w:rPr>
        <w:t xml:space="preserve">og eru </w:t>
      </w:r>
      <w:r w:rsidRPr="0059796E">
        <w:rPr>
          <w:lang w:val="is-IS"/>
        </w:rPr>
        <w:t xml:space="preserve">samþykkt fyrir aðrar ábendingar en upprætingu </w:t>
      </w:r>
      <w:r w:rsidRPr="00534BC4">
        <w:rPr>
          <w:i/>
          <w:iCs/>
          <w:lang w:val="is-IS"/>
        </w:rPr>
        <w:t>H. pylori</w:t>
      </w:r>
      <w:r w:rsidRPr="0059796E">
        <w:rPr>
          <w:lang w:val="is-IS"/>
        </w:rPr>
        <w:t xml:space="preserve"> eingöngu (</w:t>
      </w:r>
      <w:r>
        <w:rPr>
          <w:lang w:val="is-IS"/>
        </w:rPr>
        <w:t>þ.e.</w:t>
      </w:r>
      <w:r w:rsidRPr="0059796E">
        <w:rPr>
          <w:lang w:val="is-IS"/>
        </w:rPr>
        <w:t xml:space="preserve"> annað hvort </w:t>
      </w:r>
      <w:r>
        <w:rPr>
          <w:lang w:val="is-IS"/>
        </w:rPr>
        <w:t>með aðrar</w:t>
      </w:r>
      <w:r w:rsidRPr="0059796E">
        <w:rPr>
          <w:lang w:val="is-IS"/>
        </w:rPr>
        <w:t xml:space="preserve"> ábending</w:t>
      </w:r>
      <w:r>
        <w:rPr>
          <w:lang w:val="is-IS"/>
        </w:rPr>
        <w:t>ar</w:t>
      </w:r>
      <w:r w:rsidRPr="0059796E">
        <w:rPr>
          <w:lang w:val="is-IS"/>
        </w:rPr>
        <w:t xml:space="preserve"> en uppræting</w:t>
      </w:r>
      <w:r>
        <w:rPr>
          <w:lang w:val="is-IS"/>
        </w:rPr>
        <w:t>u</w:t>
      </w:r>
      <w:r w:rsidRPr="0059796E">
        <w:rPr>
          <w:lang w:val="is-IS"/>
        </w:rPr>
        <w:t xml:space="preserve"> </w:t>
      </w:r>
      <w:r w:rsidRPr="00534BC4">
        <w:rPr>
          <w:i/>
          <w:iCs/>
          <w:lang w:val="is-IS"/>
        </w:rPr>
        <w:t>H. pylori</w:t>
      </w:r>
      <w:r w:rsidRPr="0059796E">
        <w:rPr>
          <w:lang w:val="is-IS"/>
        </w:rPr>
        <w:t xml:space="preserve"> eða með </w:t>
      </w:r>
      <w:r>
        <w:rPr>
          <w:lang w:val="is-IS"/>
        </w:rPr>
        <w:t>aðrar</w:t>
      </w:r>
      <w:r w:rsidRPr="0059796E">
        <w:rPr>
          <w:lang w:val="is-IS"/>
        </w:rPr>
        <w:t xml:space="preserve"> ábending</w:t>
      </w:r>
      <w:r>
        <w:rPr>
          <w:lang w:val="is-IS"/>
        </w:rPr>
        <w:t>ar</w:t>
      </w:r>
      <w:r w:rsidRPr="0059796E">
        <w:rPr>
          <w:lang w:val="is-IS"/>
        </w:rPr>
        <w:t xml:space="preserve"> til viðbótar við upprætingu </w:t>
      </w:r>
      <w:r w:rsidRPr="00534BC4">
        <w:rPr>
          <w:i/>
          <w:iCs/>
          <w:lang w:val="is-IS"/>
        </w:rPr>
        <w:t>H. pylori</w:t>
      </w:r>
      <w:r w:rsidRPr="0059796E">
        <w:rPr>
          <w:lang w:val="is-IS"/>
        </w:rPr>
        <w:t xml:space="preserve">) eiga að </w:t>
      </w:r>
      <w:r>
        <w:rPr>
          <w:lang w:val="is-IS"/>
        </w:rPr>
        <w:t>auka við</w:t>
      </w:r>
      <w:r w:rsidRPr="0059796E">
        <w:rPr>
          <w:lang w:val="is-IS"/>
        </w:rPr>
        <w:t xml:space="preserve"> núverandi varúð fyrir sjúklinga með Cockayne heilkenni. Eftirfarandi breytingar á kafla 4.4 í SmPC voru samþykktar (nýr texti sem bæta á við lyfjaupplýsingar er </w:t>
      </w:r>
      <w:r w:rsidRPr="0059796E">
        <w:rPr>
          <w:b/>
          <w:bCs/>
          <w:u w:val="single"/>
          <w:lang w:val="is-IS"/>
        </w:rPr>
        <w:t>undirstrikaður og feitletraður</w:t>
      </w:r>
      <w:r w:rsidRPr="0059796E">
        <w:rPr>
          <w:lang w:val="is-IS"/>
        </w:rPr>
        <w:t xml:space="preserve">. Texti sem á að eyða er </w:t>
      </w:r>
      <w:r w:rsidRPr="0059796E">
        <w:rPr>
          <w:strike/>
          <w:lang w:val="is-IS"/>
        </w:rPr>
        <w:t>yfirstrikaður</w:t>
      </w:r>
      <w:r w:rsidRPr="0059796E">
        <w:rPr>
          <w:lang w:val="is-IS"/>
        </w:rPr>
        <w:t>):</w:t>
      </w:r>
    </w:p>
    <w:p w14:paraId="4FEFDA7A" w14:textId="77777777" w:rsidR="008D12AC" w:rsidRPr="00534BC4" w:rsidRDefault="008D12AC" w:rsidP="008D12AC">
      <w:pPr>
        <w:pStyle w:val="BodytextAgency"/>
        <w:rPr>
          <w:b/>
          <w:bCs/>
          <w:u w:val="single"/>
        </w:rPr>
      </w:pPr>
      <w:proofErr w:type="spellStart"/>
      <w:r w:rsidRPr="00534BC4">
        <w:rPr>
          <w:b/>
          <w:bCs/>
          <w:u w:val="single"/>
        </w:rPr>
        <w:t>Eiturverkanir</w:t>
      </w:r>
      <w:proofErr w:type="spellEnd"/>
      <w:r w:rsidRPr="00534BC4">
        <w:rPr>
          <w:b/>
          <w:bCs/>
          <w:u w:val="single"/>
        </w:rPr>
        <w:t xml:space="preserve"> á </w:t>
      </w:r>
      <w:proofErr w:type="spellStart"/>
      <w:r w:rsidRPr="00534BC4">
        <w:rPr>
          <w:b/>
          <w:bCs/>
          <w:u w:val="single"/>
        </w:rPr>
        <w:t>lifur</w:t>
      </w:r>
      <w:proofErr w:type="spellEnd"/>
      <w:r w:rsidRPr="00534BC4">
        <w:rPr>
          <w:b/>
          <w:bCs/>
          <w:u w:val="single"/>
        </w:rPr>
        <w:t xml:space="preserve"> hjá </w:t>
      </w:r>
      <w:proofErr w:type="spellStart"/>
      <w:r w:rsidRPr="00534BC4">
        <w:rPr>
          <w:b/>
          <w:bCs/>
          <w:u w:val="single"/>
        </w:rPr>
        <w:t>sjúklingum</w:t>
      </w:r>
      <w:proofErr w:type="spellEnd"/>
      <w:r w:rsidRPr="00534BC4">
        <w:rPr>
          <w:b/>
          <w:bCs/>
          <w:u w:val="single"/>
        </w:rPr>
        <w:t xml:space="preserve"> með Cockayne </w:t>
      </w:r>
      <w:proofErr w:type="spellStart"/>
      <w:r w:rsidRPr="00534BC4">
        <w:rPr>
          <w:b/>
          <w:bCs/>
          <w:u w:val="single"/>
        </w:rPr>
        <w:t>heilkenni</w:t>
      </w:r>
      <w:proofErr w:type="spellEnd"/>
    </w:p>
    <w:p w14:paraId="3F9D6578" w14:textId="77777777" w:rsidR="008D12AC" w:rsidRPr="00534BC4" w:rsidRDefault="008D12AC" w:rsidP="008D12AC">
      <w:pPr>
        <w:pStyle w:val="BodytextAgency"/>
        <w:rPr>
          <w:color w:val="000000" w:themeColor="text1"/>
        </w:rPr>
      </w:pPr>
      <w:proofErr w:type="spellStart"/>
      <w:r w:rsidRPr="00534BC4">
        <w:t>Greint</w:t>
      </w:r>
      <w:proofErr w:type="spellEnd"/>
      <w:r w:rsidRPr="00534BC4">
        <w:t xml:space="preserve"> hefur verið frá </w:t>
      </w:r>
      <w:proofErr w:type="spellStart"/>
      <w:r w:rsidRPr="00534BC4">
        <w:t>tilvikum</w:t>
      </w:r>
      <w:proofErr w:type="spellEnd"/>
      <w:r w:rsidRPr="00534BC4">
        <w:t xml:space="preserve"> um </w:t>
      </w:r>
      <w:proofErr w:type="spellStart"/>
      <w:r w:rsidRPr="00534BC4">
        <w:t>alvarlegar</w:t>
      </w:r>
      <w:proofErr w:type="spellEnd"/>
      <w:r w:rsidRPr="00534BC4">
        <w:t xml:space="preserve"> </w:t>
      </w:r>
      <w:proofErr w:type="spellStart"/>
      <w:r w:rsidRPr="00534BC4">
        <w:t>eiturverkanir</w:t>
      </w:r>
      <w:proofErr w:type="spellEnd"/>
      <w:r w:rsidRPr="00534BC4">
        <w:t xml:space="preserve"> á </w:t>
      </w:r>
      <w:proofErr w:type="spellStart"/>
      <w:r w:rsidRPr="00534BC4">
        <w:t>lifur</w:t>
      </w:r>
      <w:proofErr w:type="spellEnd"/>
      <w:r w:rsidRPr="00534BC4">
        <w:t>/</w:t>
      </w:r>
      <w:proofErr w:type="spellStart"/>
      <w:r w:rsidRPr="00534BC4">
        <w:t>bráða</w:t>
      </w:r>
      <w:proofErr w:type="spellEnd"/>
      <w:r w:rsidRPr="00534BC4">
        <w:t xml:space="preserve"> </w:t>
      </w:r>
      <w:proofErr w:type="spellStart"/>
      <w:r w:rsidRPr="00534BC4">
        <w:t>lifrarbilun</w:t>
      </w:r>
      <w:proofErr w:type="spellEnd"/>
      <w:r w:rsidRPr="00534BC4">
        <w:t xml:space="preserve">, þar með </w:t>
      </w:r>
      <w:proofErr w:type="spellStart"/>
      <w:r w:rsidRPr="00534BC4">
        <w:t>talin</w:t>
      </w:r>
      <w:proofErr w:type="spellEnd"/>
      <w:r w:rsidRPr="00534BC4">
        <w:t xml:space="preserve"> </w:t>
      </w:r>
      <w:proofErr w:type="spellStart"/>
      <w:r w:rsidRPr="00534BC4">
        <w:t>tilvik</w:t>
      </w:r>
      <w:proofErr w:type="spellEnd"/>
      <w:r w:rsidRPr="00534BC4">
        <w:t xml:space="preserve"> </w:t>
      </w:r>
      <w:proofErr w:type="spellStart"/>
      <w:r w:rsidRPr="00534BC4">
        <w:t>sem</w:t>
      </w:r>
      <w:proofErr w:type="spellEnd"/>
      <w:r w:rsidRPr="00534BC4">
        <w:t xml:space="preserve"> hafa </w:t>
      </w:r>
      <w:proofErr w:type="spellStart"/>
      <w:r w:rsidRPr="00534BC4">
        <w:t>leitt</w:t>
      </w:r>
      <w:proofErr w:type="spellEnd"/>
      <w:r w:rsidRPr="00534BC4">
        <w:t xml:space="preserve"> </w:t>
      </w:r>
      <w:proofErr w:type="spellStart"/>
      <w:r w:rsidRPr="00534BC4">
        <w:t>til</w:t>
      </w:r>
      <w:proofErr w:type="spellEnd"/>
      <w:r w:rsidRPr="00534BC4">
        <w:t xml:space="preserve"> </w:t>
      </w:r>
      <w:proofErr w:type="spellStart"/>
      <w:r w:rsidRPr="00534BC4">
        <w:t>dauðsfalla</w:t>
      </w:r>
      <w:proofErr w:type="spellEnd"/>
      <w:r w:rsidRPr="00534BC4">
        <w:t xml:space="preserve"> </w:t>
      </w:r>
      <w:proofErr w:type="spellStart"/>
      <w:r w:rsidRPr="00534BC4">
        <w:t>sem</w:t>
      </w:r>
      <w:proofErr w:type="spellEnd"/>
      <w:r w:rsidRPr="00534BC4">
        <w:t xml:space="preserve"> </w:t>
      </w:r>
      <w:proofErr w:type="spellStart"/>
      <w:r w:rsidRPr="00534BC4">
        <w:t>komu</w:t>
      </w:r>
      <w:proofErr w:type="spellEnd"/>
      <w:r w:rsidRPr="00534BC4">
        <w:t xml:space="preserve"> mjög </w:t>
      </w:r>
      <w:proofErr w:type="spellStart"/>
      <w:r w:rsidRPr="00534BC4">
        <w:t>skyndilega</w:t>
      </w:r>
      <w:proofErr w:type="spellEnd"/>
      <w:r w:rsidRPr="00534BC4">
        <w:t xml:space="preserve"> </w:t>
      </w:r>
      <w:proofErr w:type="spellStart"/>
      <w:r w:rsidRPr="00534BC4">
        <w:t>fram</w:t>
      </w:r>
      <w:proofErr w:type="spellEnd"/>
      <w:r w:rsidRPr="00534BC4">
        <w:t xml:space="preserve"> eftir að </w:t>
      </w:r>
      <w:proofErr w:type="spellStart"/>
      <w:r w:rsidRPr="00534BC4">
        <w:t>meðferð</w:t>
      </w:r>
      <w:proofErr w:type="spellEnd"/>
      <w:r w:rsidRPr="00534BC4">
        <w:t xml:space="preserve"> með </w:t>
      </w:r>
      <w:proofErr w:type="spellStart"/>
      <w:r w:rsidRPr="00534BC4">
        <w:t>lyfjum</w:t>
      </w:r>
      <w:proofErr w:type="spellEnd"/>
      <w:r w:rsidRPr="00534BC4">
        <w:t xml:space="preserve"> </w:t>
      </w:r>
      <w:proofErr w:type="spellStart"/>
      <w:r w:rsidRPr="00534BC4">
        <w:t>sem</w:t>
      </w:r>
      <w:proofErr w:type="spellEnd"/>
      <w:r w:rsidRPr="00534BC4">
        <w:t xml:space="preserve"> </w:t>
      </w:r>
      <w:proofErr w:type="spellStart"/>
      <w:r w:rsidRPr="00534BC4">
        <w:t>innihalda</w:t>
      </w:r>
      <w:proofErr w:type="spellEnd"/>
      <w:r w:rsidRPr="00534BC4">
        <w:t xml:space="preserve"> </w:t>
      </w:r>
      <w:proofErr w:type="spellStart"/>
      <w:r w:rsidRPr="00534BC4">
        <w:t>metrónídazól</w:t>
      </w:r>
      <w:proofErr w:type="spellEnd"/>
      <w:r w:rsidRPr="00534BC4">
        <w:t xml:space="preserve"> </w:t>
      </w:r>
      <w:proofErr w:type="spellStart"/>
      <w:r w:rsidRPr="00534BC4">
        <w:t>til</w:t>
      </w:r>
      <w:proofErr w:type="spellEnd"/>
      <w:r w:rsidRPr="00534BC4">
        <w:t xml:space="preserve"> </w:t>
      </w:r>
      <w:proofErr w:type="spellStart"/>
      <w:r w:rsidRPr="00534BC4">
        <w:t>altækrar</w:t>
      </w:r>
      <w:proofErr w:type="spellEnd"/>
      <w:r w:rsidRPr="00534BC4">
        <w:t xml:space="preserve"> </w:t>
      </w:r>
      <w:proofErr w:type="spellStart"/>
      <w:r w:rsidRPr="00534BC4">
        <w:t>notkunar</w:t>
      </w:r>
      <w:proofErr w:type="spellEnd"/>
      <w:r w:rsidRPr="00534BC4">
        <w:t xml:space="preserve"> var </w:t>
      </w:r>
      <w:proofErr w:type="spellStart"/>
      <w:r w:rsidRPr="00534BC4">
        <w:t>hafin</w:t>
      </w:r>
      <w:proofErr w:type="spellEnd"/>
      <w:r w:rsidRPr="00534BC4">
        <w:t xml:space="preserve">, hjá </w:t>
      </w:r>
      <w:proofErr w:type="spellStart"/>
      <w:r w:rsidRPr="00534BC4">
        <w:t>sjúklingum</w:t>
      </w:r>
      <w:proofErr w:type="spellEnd"/>
      <w:r w:rsidRPr="00534BC4">
        <w:t xml:space="preserve"> með Cockayne </w:t>
      </w:r>
      <w:proofErr w:type="spellStart"/>
      <w:r w:rsidRPr="00534BC4">
        <w:t>heilkenni</w:t>
      </w:r>
      <w:proofErr w:type="spellEnd"/>
      <w:r w:rsidRPr="00534BC4">
        <w:t xml:space="preserve">. </w:t>
      </w:r>
      <w:proofErr w:type="spellStart"/>
      <w:r w:rsidRPr="00534BC4">
        <w:rPr>
          <w:strike/>
        </w:rPr>
        <w:t>Aðeins</w:t>
      </w:r>
      <w:proofErr w:type="spellEnd"/>
      <w:r w:rsidRPr="00534BC4">
        <w:rPr>
          <w:strike/>
        </w:rPr>
        <w:t xml:space="preserve"> </w:t>
      </w:r>
      <w:r w:rsidRPr="00534BC4">
        <w:rPr>
          <w:b/>
          <w:bCs/>
        </w:rPr>
        <w:t>Ekki</w:t>
      </w:r>
      <w:r w:rsidRPr="00534BC4">
        <w:t xml:space="preserve"> </w:t>
      </w:r>
      <w:r w:rsidRPr="00534BC4">
        <w:rPr>
          <w:b/>
          <w:bCs/>
        </w:rPr>
        <w:t>má nota</w:t>
      </w:r>
      <w:r w:rsidRPr="00534BC4">
        <w:t xml:space="preserve"> </w:t>
      </w:r>
      <w:proofErr w:type="spellStart"/>
      <w:r w:rsidRPr="00534BC4">
        <w:t>metrónídazól</w:t>
      </w:r>
      <w:proofErr w:type="spellEnd"/>
      <w:r w:rsidRPr="00534BC4">
        <w:t xml:space="preserve"> hjá </w:t>
      </w:r>
      <w:proofErr w:type="spellStart"/>
      <w:r w:rsidRPr="00534BC4">
        <w:t>þessum</w:t>
      </w:r>
      <w:proofErr w:type="spellEnd"/>
      <w:r w:rsidRPr="00534BC4">
        <w:t xml:space="preserve"> </w:t>
      </w:r>
      <w:proofErr w:type="spellStart"/>
      <w:r w:rsidRPr="00534BC4">
        <w:t>sjúklingahópi</w:t>
      </w:r>
      <w:proofErr w:type="spellEnd"/>
      <w:r w:rsidRPr="00534BC4">
        <w:t xml:space="preserve"> </w:t>
      </w:r>
      <w:proofErr w:type="spellStart"/>
      <w:r w:rsidRPr="00534BC4">
        <w:rPr>
          <w:b/>
          <w:bCs/>
        </w:rPr>
        <w:t>nema</w:t>
      </w:r>
      <w:proofErr w:type="spellEnd"/>
      <w:r w:rsidRPr="00534BC4">
        <w:rPr>
          <w:b/>
          <w:bCs/>
        </w:rPr>
        <w:t xml:space="preserve"> </w:t>
      </w:r>
      <w:proofErr w:type="spellStart"/>
      <w:r w:rsidRPr="00534BC4">
        <w:rPr>
          <w:b/>
          <w:bCs/>
        </w:rPr>
        <w:t>ávinningur</w:t>
      </w:r>
      <w:proofErr w:type="spellEnd"/>
      <w:r w:rsidRPr="00534BC4">
        <w:rPr>
          <w:b/>
          <w:bCs/>
        </w:rPr>
        <w:t xml:space="preserve"> sé </w:t>
      </w:r>
      <w:proofErr w:type="spellStart"/>
      <w:r w:rsidRPr="00534BC4">
        <w:rPr>
          <w:b/>
          <w:bCs/>
        </w:rPr>
        <w:t>talinn</w:t>
      </w:r>
      <w:proofErr w:type="spellEnd"/>
      <w:r w:rsidRPr="00534BC4">
        <w:rPr>
          <w:b/>
          <w:bCs/>
        </w:rPr>
        <w:t xml:space="preserve"> </w:t>
      </w:r>
      <w:proofErr w:type="spellStart"/>
      <w:r w:rsidRPr="00534BC4">
        <w:rPr>
          <w:b/>
          <w:bCs/>
        </w:rPr>
        <w:t>umfram</w:t>
      </w:r>
      <w:proofErr w:type="spellEnd"/>
      <w:r w:rsidRPr="00534BC4">
        <w:rPr>
          <w:b/>
          <w:bCs/>
        </w:rPr>
        <w:t xml:space="preserve"> áhættu </w:t>
      </w:r>
      <w:r w:rsidRPr="00534BC4">
        <w:t xml:space="preserve">og </w:t>
      </w:r>
      <w:proofErr w:type="spellStart"/>
      <w:r w:rsidRPr="00534BC4">
        <w:rPr>
          <w:strike/>
        </w:rPr>
        <w:t>eingöngu</w:t>
      </w:r>
      <w:proofErr w:type="spellEnd"/>
      <w:r w:rsidRPr="00534BC4">
        <w:t xml:space="preserve"> </w:t>
      </w:r>
      <w:proofErr w:type="spellStart"/>
      <w:r w:rsidRPr="00534BC4">
        <w:t>ef</w:t>
      </w:r>
      <w:proofErr w:type="spellEnd"/>
      <w:r w:rsidRPr="00534BC4">
        <w:t xml:space="preserve"> </w:t>
      </w:r>
      <w:proofErr w:type="spellStart"/>
      <w:r w:rsidRPr="00534BC4">
        <w:t>engin</w:t>
      </w:r>
      <w:proofErr w:type="spellEnd"/>
      <w:r w:rsidRPr="00534BC4">
        <w:t xml:space="preserve"> </w:t>
      </w:r>
      <w:proofErr w:type="spellStart"/>
      <w:r w:rsidRPr="00534BC4">
        <w:t>önnur</w:t>
      </w:r>
      <w:proofErr w:type="spellEnd"/>
      <w:r w:rsidRPr="00534BC4">
        <w:t xml:space="preserve"> </w:t>
      </w:r>
      <w:proofErr w:type="spellStart"/>
      <w:r w:rsidRPr="00534BC4">
        <w:t>meðferðarúrræði</w:t>
      </w:r>
      <w:proofErr w:type="spellEnd"/>
      <w:r w:rsidRPr="00534BC4">
        <w:t xml:space="preserve"> eru </w:t>
      </w:r>
      <w:proofErr w:type="spellStart"/>
      <w:r w:rsidRPr="00534BC4">
        <w:t>til</w:t>
      </w:r>
      <w:proofErr w:type="spellEnd"/>
      <w:r w:rsidRPr="00534BC4">
        <w:t xml:space="preserve"> </w:t>
      </w:r>
      <w:proofErr w:type="spellStart"/>
      <w:r w:rsidRPr="00534BC4">
        <w:t>staðar</w:t>
      </w:r>
      <w:proofErr w:type="spellEnd"/>
      <w:r w:rsidRPr="00534BC4">
        <w:t xml:space="preserve">. </w:t>
      </w:r>
      <w:proofErr w:type="spellStart"/>
      <w:r w:rsidRPr="00534BC4">
        <w:t>Mælingar</w:t>
      </w:r>
      <w:proofErr w:type="spellEnd"/>
      <w:r w:rsidRPr="00534BC4">
        <w:t xml:space="preserve"> á </w:t>
      </w:r>
      <w:proofErr w:type="spellStart"/>
      <w:r w:rsidRPr="00534BC4">
        <w:t>lifrarstarfsemi</w:t>
      </w:r>
      <w:proofErr w:type="spellEnd"/>
      <w:r w:rsidRPr="00534BC4">
        <w:t xml:space="preserve"> </w:t>
      </w:r>
      <w:proofErr w:type="spellStart"/>
      <w:r w:rsidRPr="00534BC4">
        <w:t>skulu</w:t>
      </w:r>
      <w:proofErr w:type="spellEnd"/>
      <w:r w:rsidRPr="00534BC4">
        <w:t xml:space="preserve"> </w:t>
      </w:r>
      <w:proofErr w:type="spellStart"/>
      <w:r w:rsidRPr="00534BC4">
        <w:t>gerðar</w:t>
      </w:r>
      <w:proofErr w:type="spellEnd"/>
      <w:r w:rsidRPr="00534BC4">
        <w:t xml:space="preserve"> </w:t>
      </w:r>
      <w:proofErr w:type="spellStart"/>
      <w:r w:rsidRPr="00534BC4">
        <w:t>rétt</w:t>
      </w:r>
      <w:proofErr w:type="spellEnd"/>
      <w:r w:rsidRPr="00534BC4">
        <w:t xml:space="preserve"> áður en </w:t>
      </w:r>
      <w:proofErr w:type="spellStart"/>
      <w:r w:rsidRPr="00534BC4">
        <w:t>meðferð</w:t>
      </w:r>
      <w:proofErr w:type="spellEnd"/>
      <w:r w:rsidRPr="00534BC4">
        <w:t xml:space="preserve"> er </w:t>
      </w:r>
      <w:proofErr w:type="spellStart"/>
      <w:r w:rsidRPr="00534BC4">
        <w:t>hafin</w:t>
      </w:r>
      <w:proofErr w:type="spellEnd"/>
      <w:r w:rsidRPr="00534BC4">
        <w:t xml:space="preserve">, </w:t>
      </w:r>
      <w:proofErr w:type="spellStart"/>
      <w:r w:rsidRPr="00534BC4">
        <w:t>meðan</w:t>
      </w:r>
      <w:proofErr w:type="spellEnd"/>
      <w:r w:rsidRPr="00534BC4">
        <w:t xml:space="preserve"> á </w:t>
      </w:r>
      <w:proofErr w:type="spellStart"/>
      <w:r w:rsidRPr="00534BC4">
        <w:t>meðferð</w:t>
      </w:r>
      <w:proofErr w:type="spellEnd"/>
      <w:r w:rsidRPr="00534BC4">
        <w:t xml:space="preserve"> </w:t>
      </w:r>
      <w:proofErr w:type="spellStart"/>
      <w:r w:rsidRPr="00534BC4">
        <w:t>stendur</w:t>
      </w:r>
      <w:proofErr w:type="spellEnd"/>
      <w:r w:rsidRPr="00534BC4">
        <w:t xml:space="preserve"> og eftir að </w:t>
      </w:r>
      <w:proofErr w:type="spellStart"/>
      <w:r w:rsidRPr="00534BC4">
        <w:t>meðferð</w:t>
      </w:r>
      <w:proofErr w:type="spellEnd"/>
      <w:r w:rsidRPr="00534BC4">
        <w:t xml:space="preserve"> er </w:t>
      </w:r>
      <w:proofErr w:type="spellStart"/>
      <w:r w:rsidRPr="00534BC4">
        <w:t>lokið</w:t>
      </w:r>
      <w:proofErr w:type="spellEnd"/>
      <w:r w:rsidRPr="00534BC4">
        <w:t xml:space="preserve"> þar </w:t>
      </w:r>
      <w:proofErr w:type="spellStart"/>
      <w:r w:rsidRPr="00534BC4">
        <w:t>til</w:t>
      </w:r>
      <w:proofErr w:type="spellEnd"/>
      <w:r w:rsidRPr="00534BC4">
        <w:t xml:space="preserve"> </w:t>
      </w:r>
      <w:proofErr w:type="spellStart"/>
      <w:r w:rsidRPr="00534BC4">
        <w:t>lifrarstarfsemi</w:t>
      </w:r>
      <w:proofErr w:type="spellEnd"/>
      <w:r w:rsidRPr="00534BC4">
        <w:t xml:space="preserve"> er </w:t>
      </w:r>
      <w:proofErr w:type="spellStart"/>
      <w:r w:rsidRPr="00534BC4">
        <w:t>innan</w:t>
      </w:r>
      <w:proofErr w:type="spellEnd"/>
      <w:r w:rsidRPr="00534BC4">
        <w:t xml:space="preserve"> </w:t>
      </w:r>
      <w:proofErr w:type="spellStart"/>
      <w:r w:rsidRPr="00534BC4">
        <w:t>eðlilegra</w:t>
      </w:r>
      <w:proofErr w:type="spellEnd"/>
      <w:r w:rsidRPr="00534BC4">
        <w:t xml:space="preserve"> </w:t>
      </w:r>
      <w:proofErr w:type="spellStart"/>
      <w:r w:rsidRPr="00534BC4">
        <w:t>gilda</w:t>
      </w:r>
      <w:proofErr w:type="spellEnd"/>
      <w:r w:rsidRPr="00534BC4">
        <w:t xml:space="preserve">, eða </w:t>
      </w:r>
      <w:proofErr w:type="spellStart"/>
      <w:r w:rsidRPr="00534BC4">
        <w:t>gildi</w:t>
      </w:r>
      <w:proofErr w:type="spellEnd"/>
      <w:r w:rsidRPr="00534BC4">
        <w:t xml:space="preserve"> </w:t>
      </w:r>
      <w:proofErr w:type="spellStart"/>
      <w:r w:rsidRPr="00534BC4">
        <w:t>sem</w:t>
      </w:r>
      <w:proofErr w:type="spellEnd"/>
      <w:r w:rsidRPr="00534BC4">
        <w:t xml:space="preserve"> voru fyrir </w:t>
      </w:r>
      <w:proofErr w:type="spellStart"/>
      <w:r w:rsidRPr="00534BC4">
        <w:t>upphaf</w:t>
      </w:r>
      <w:proofErr w:type="spellEnd"/>
      <w:r w:rsidRPr="00534BC4">
        <w:t xml:space="preserve"> </w:t>
      </w:r>
      <w:proofErr w:type="spellStart"/>
      <w:r w:rsidRPr="00534BC4">
        <w:t>meðferðar</w:t>
      </w:r>
      <w:proofErr w:type="spellEnd"/>
      <w:r w:rsidRPr="00534BC4">
        <w:t xml:space="preserve"> </w:t>
      </w:r>
      <w:proofErr w:type="spellStart"/>
      <w:r w:rsidRPr="00534BC4">
        <w:t>nást</w:t>
      </w:r>
      <w:proofErr w:type="spellEnd"/>
      <w:r w:rsidRPr="00534BC4">
        <w:t xml:space="preserve"> </w:t>
      </w:r>
      <w:proofErr w:type="spellStart"/>
      <w:r w:rsidRPr="00534BC4">
        <w:t>aftur</w:t>
      </w:r>
      <w:proofErr w:type="spellEnd"/>
      <w:r w:rsidRPr="00534BC4">
        <w:t xml:space="preserve">. Ef </w:t>
      </w:r>
      <w:proofErr w:type="spellStart"/>
      <w:r w:rsidRPr="00534BC4">
        <w:t>gildi</w:t>
      </w:r>
      <w:proofErr w:type="spellEnd"/>
      <w:r w:rsidRPr="00534BC4">
        <w:t xml:space="preserve"> </w:t>
      </w:r>
      <w:proofErr w:type="spellStart"/>
      <w:r w:rsidRPr="00534BC4">
        <w:t>mælinga</w:t>
      </w:r>
      <w:proofErr w:type="spellEnd"/>
      <w:r w:rsidRPr="00534BC4">
        <w:t xml:space="preserve"> á </w:t>
      </w:r>
      <w:proofErr w:type="spellStart"/>
      <w:r w:rsidRPr="00534BC4">
        <w:t>lifrarstarfsemi</w:t>
      </w:r>
      <w:proofErr w:type="spellEnd"/>
      <w:r w:rsidRPr="00534BC4">
        <w:t xml:space="preserve"> </w:t>
      </w:r>
      <w:proofErr w:type="spellStart"/>
      <w:r w:rsidRPr="00534BC4">
        <w:t>hækka</w:t>
      </w:r>
      <w:proofErr w:type="spellEnd"/>
      <w:r w:rsidRPr="00534BC4">
        <w:t xml:space="preserve"> </w:t>
      </w:r>
      <w:proofErr w:type="spellStart"/>
      <w:r w:rsidRPr="00534BC4">
        <w:t>marktækt</w:t>
      </w:r>
      <w:proofErr w:type="spellEnd"/>
      <w:r w:rsidRPr="00534BC4">
        <w:t xml:space="preserve"> </w:t>
      </w:r>
      <w:proofErr w:type="spellStart"/>
      <w:r w:rsidRPr="00534BC4">
        <w:t>meðan</w:t>
      </w:r>
      <w:proofErr w:type="spellEnd"/>
      <w:r w:rsidRPr="00534BC4">
        <w:t xml:space="preserve"> á </w:t>
      </w:r>
      <w:proofErr w:type="spellStart"/>
      <w:r w:rsidRPr="00534BC4">
        <w:t>meðferð</w:t>
      </w:r>
      <w:proofErr w:type="spellEnd"/>
      <w:r w:rsidRPr="00534BC4">
        <w:t xml:space="preserve"> </w:t>
      </w:r>
      <w:proofErr w:type="spellStart"/>
      <w:r w:rsidRPr="00534BC4">
        <w:t>stendur</w:t>
      </w:r>
      <w:proofErr w:type="spellEnd"/>
      <w:r w:rsidRPr="00534BC4">
        <w:t xml:space="preserve">, á að </w:t>
      </w:r>
      <w:proofErr w:type="spellStart"/>
      <w:r w:rsidRPr="00534BC4">
        <w:t>hætta</w:t>
      </w:r>
      <w:proofErr w:type="spellEnd"/>
      <w:r w:rsidRPr="00534BC4">
        <w:t xml:space="preserve"> að nota </w:t>
      </w:r>
      <w:proofErr w:type="spellStart"/>
      <w:r w:rsidRPr="00534BC4">
        <w:t>lyfið</w:t>
      </w:r>
      <w:proofErr w:type="spellEnd"/>
      <w:r w:rsidRPr="00534BC4">
        <w:t xml:space="preserve">. </w:t>
      </w:r>
      <w:proofErr w:type="spellStart"/>
      <w:r w:rsidRPr="00534BC4">
        <w:t>Ráðleggja</w:t>
      </w:r>
      <w:proofErr w:type="spellEnd"/>
      <w:r w:rsidRPr="00534BC4">
        <w:t xml:space="preserve"> á </w:t>
      </w:r>
      <w:proofErr w:type="spellStart"/>
      <w:r w:rsidRPr="00534BC4">
        <w:t>sjúklingum</w:t>
      </w:r>
      <w:proofErr w:type="spellEnd"/>
      <w:r w:rsidRPr="00534BC4">
        <w:t xml:space="preserve"> með Cockayne </w:t>
      </w:r>
      <w:proofErr w:type="spellStart"/>
      <w:r w:rsidRPr="00534BC4">
        <w:t>heilkenni</w:t>
      </w:r>
      <w:proofErr w:type="spellEnd"/>
      <w:r w:rsidRPr="00534BC4">
        <w:t xml:space="preserve"> að </w:t>
      </w:r>
      <w:proofErr w:type="spellStart"/>
      <w:r w:rsidRPr="00534BC4">
        <w:t>tilkynna</w:t>
      </w:r>
      <w:proofErr w:type="spellEnd"/>
      <w:r w:rsidRPr="00534BC4">
        <w:t xml:space="preserve"> </w:t>
      </w:r>
      <w:proofErr w:type="spellStart"/>
      <w:r w:rsidRPr="00534BC4">
        <w:t>án</w:t>
      </w:r>
      <w:proofErr w:type="spellEnd"/>
      <w:r w:rsidRPr="00534BC4">
        <w:t xml:space="preserve"> </w:t>
      </w:r>
      <w:proofErr w:type="spellStart"/>
      <w:r w:rsidRPr="00534BC4">
        <w:t>tafar</w:t>
      </w:r>
      <w:proofErr w:type="spellEnd"/>
      <w:r w:rsidRPr="00534BC4">
        <w:t xml:space="preserve"> um </w:t>
      </w:r>
      <w:proofErr w:type="spellStart"/>
      <w:r w:rsidRPr="00534BC4">
        <w:t>öll</w:t>
      </w:r>
      <w:proofErr w:type="spellEnd"/>
      <w:r w:rsidRPr="00534BC4">
        <w:t xml:space="preserve"> </w:t>
      </w:r>
      <w:proofErr w:type="spellStart"/>
      <w:r w:rsidRPr="00534BC4">
        <w:t>einkenni</w:t>
      </w:r>
      <w:proofErr w:type="spellEnd"/>
      <w:r w:rsidRPr="00534BC4">
        <w:t xml:space="preserve"> </w:t>
      </w:r>
      <w:proofErr w:type="spellStart"/>
      <w:r w:rsidRPr="00534BC4">
        <w:t>mögulegra</w:t>
      </w:r>
      <w:proofErr w:type="spellEnd"/>
      <w:r w:rsidRPr="00534BC4">
        <w:t xml:space="preserve"> </w:t>
      </w:r>
      <w:proofErr w:type="spellStart"/>
      <w:r w:rsidRPr="00534BC4">
        <w:t>lifrarskaða</w:t>
      </w:r>
      <w:proofErr w:type="spellEnd"/>
      <w:r w:rsidRPr="00534BC4">
        <w:t xml:space="preserve"> </w:t>
      </w:r>
      <w:proofErr w:type="spellStart"/>
      <w:r w:rsidRPr="00534BC4">
        <w:t>til</w:t>
      </w:r>
      <w:proofErr w:type="spellEnd"/>
      <w:r w:rsidRPr="00534BC4">
        <w:t xml:space="preserve"> </w:t>
      </w:r>
      <w:proofErr w:type="spellStart"/>
      <w:r w:rsidRPr="00534BC4">
        <w:t>síns</w:t>
      </w:r>
      <w:proofErr w:type="spellEnd"/>
      <w:r w:rsidRPr="00534BC4">
        <w:t xml:space="preserve"> </w:t>
      </w:r>
      <w:proofErr w:type="spellStart"/>
      <w:r w:rsidRPr="00534BC4">
        <w:t>læknis</w:t>
      </w:r>
      <w:proofErr w:type="spellEnd"/>
      <w:r w:rsidRPr="00534BC4">
        <w:t xml:space="preserve"> og </w:t>
      </w:r>
      <w:proofErr w:type="spellStart"/>
      <w:r w:rsidRPr="00534BC4">
        <w:t>hætta</w:t>
      </w:r>
      <w:proofErr w:type="spellEnd"/>
      <w:r w:rsidRPr="00534BC4">
        <w:t xml:space="preserve"> að taka </w:t>
      </w:r>
      <w:proofErr w:type="spellStart"/>
      <w:r w:rsidRPr="00534BC4">
        <w:t>metrónídazól</w:t>
      </w:r>
      <w:proofErr w:type="spellEnd"/>
      <w:r w:rsidRPr="00534BC4">
        <w:t xml:space="preserve"> </w:t>
      </w:r>
      <w:r w:rsidRPr="00534BC4">
        <w:rPr>
          <w:b/>
          <w:bCs/>
        </w:rPr>
        <w:t>(</w:t>
      </w:r>
      <w:proofErr w:type="spellStart"/>
      <w:r w:rsidRPr="00534BC4">
        <w:rPr>
          <w:b/>
          <w:bCs/>
        </w:rPr>
        <w:t>sjá</w:t>
      </w:r>
      <w:proofErr w:type="spellEnd"/>
      <w:r w:rsidRPr="00534BC4">
        <w:rPr>
          <w:b/>
          <w:bCs/>
        </w:rPr>
        <w:t xml:space="preserve"> </w:t>
      </w:r>
      <w:proofErr w:type="spellStart"/>
      <w:r w:rsidRPr="00534BC4">
        <w:rPr>
          <w:b/>
          <w:bCs/>
        </w:rPr>
        <w:t>kafla</w:t>
      </w:r>
      <w:proofErr w:type="spellEnd"/>
      <w:r w:rsidRPr="00534BC4">
        <w:rPr>
          <w:b/>
          <w:bCs/>
        </w:rPr>
        <w:t xml:space="preserve"> 4.8).</w:t>
      </w:r>
    </w:p>
    <w:p w14:paraId="144A7CB2" w14:textId="77777777" w:rsidR="008D12AC" w:rsidRDefault="008D12AC" w:rsidP="008D12AC">
      <w:pPr>
        <w:pStyle w:val="BodytextAgency"/>
      </w:pPr>
      <w:proofErr w:type="spellStart"/>
      <w:r>
        <w:t>Kafli</w:t>
      </w:r>
      <w:proofErr w:type="spellEnd"/>
      <w:r>
        <w:t xml:space="preserve"> 2 í </w:t>
      </w:r>
      <w:proofErr w:type="spellStart"/>
      <w:r>
        <w:t>fylgiseðlinum</w:t>
      </w:r>
      <w:proofErr w:type="spellEnd"/>
      <w:r>
        <w:t xml:space="preserve"> (PIL) </w:t>
      </w:r>
      <w:proofErr w:type="spellStart"/>
      <w:r>
        <w:t>þarfnast</w:t>
      </w:r>
      <w:proofErr w:type="spellEnd"/>
      <w:r>
        <w:t xml:space="preserve"> ekki </w:t>
      </w:r>
      <w:proofErr w:type="spellStart"/>
      <w:r>
        <w:t>uppfærslu</w:t>
      </w:r>
      <w:proofErr w:type="spellEnd"/>
      <w:r>
        <w:t xml:space="preserve"> þar </w:t>
      </w:r>
      <w:proofErr w:type="spellStart"/>
      <w:r>
        <w:t>sem</w:t>
      </w:r>
      <w:proofErr w:type="spellEnd"/>
      <w:r>
        <w:t xml:space="preserve"> þar er ekki að </w:t>
      </w:r>
      <w:proofErr w:type="spellStart"/>
      <w:r>
        <w:t>finna</w:t>
      </w:r>
      <w:proofErr w:type="spellEnd"/>
      <w:r>
        <w:t xml:space="preserve"> </w:t>
      </w:r>
      <w:proofErr w:type="spellStart"/>
      <w:r>
        <w:t>tílvísun</w:t>
      </w:r>
      <w:proofErr w:type="spellEnd"/>
      <w:r>
        <w:t xml:space="preserve"> í </w:t>
      </w:r>
      <w:proofErr w:type="spellStart"/>
      <w:r>
        <w:t>kröfu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læknisins</w:t>
      </w:r>
      <w:proofErr w:type="spellEnd"/>
      <w:r>
        <w:t xml:space="preserve"> um að </w:t>
      </w:r>
      <w:proofErr w:type="spellStart"/>
      <w:r>
        <w:t>gera</w:t>
      </w:r>
      <w:proofErr w:type="spellEnd"/>
      <w:r>
        <w:t xml:space="preserve"> mat á </w:t>
      </w:r>
      <w:proofErr w:type="spellStart"/>
      <w:r>
        <w:t>ávinningi</w:t>
      </w:r>
      <w:proofErr w:type="spellEnd"/>
      <w:r>
        <w:t>-áhættu.</w:t>
      </w:r>
    </w:p>
    <w:p w14:paraId="089E72D0" w14:textId="77777777" w:rsidR="008D12AC" w:rsidRDefault="008D12AC" w:rsidP="008D12AC">
      <w:pPr>
        <w:pStyle w:val="BodytextAgency"/>
      </w:pPr>
      <w:proofErr w:type="spellStart"/>
      <w:r>
        <w:t>Kafla</w:t>
      </w:r>
      <w:proofErr w:type="spellEnd"/>
      <w:r>
        <w:t xml:space="preserve"> 4.8 í SmPC og 4 í </w:t>
      </w:r>
      <w:proofErr w:type="spellStart"/>
      <w:r>
        <w:t>fylgiseðlinum</w:t>
      </w:r>
      <w:proofErr w:type="spellEnd"/>
      <w:r>
        <w:t xml:space="preserve"> á að </w:t>
      </w:r>
      <w:proofErr w:type="spellStart"/>
      <w:r>
        <w:t>uppfæra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að </w:t>
      </w:r>
      <w:proofErr w:type="spellStart"/>
      <w:r>
        <w:t>endurspegla</w:t>
      </w:r>
      <w:proofErr w:type="spellEnd"/>
      <w:r>
        <w:t xml:space="preserve"> </w:t>
      </w:r>
      <w:proofErr w:type="spellStart"/>
      <w:r>
        <w:t>nýjar</w:t>
      </w:r>
      <w:proofErr w:type="spellEnd"/>
      <w:r>
        <w:t xml:space="preserve"> upplýsingar og </w:t>
      </w:r>
      <w:proofErr w:type="spellStart"/>
      <w:r>
        <w:t>tilkynningar</w:t>
      </w:r>
      <w:proofErr w:type="spellEnd"/>
      <w:r>
        <w:t xml:space="preserve"> um </w:t>
      </w:r>
      <w:proofErr w:type="spellStart"/>
      <w:r>
        <w:t>tilvik</w:t>
      </w:r>
      <w:proofErr w:type="spellEnd"/>
      <w:r>
        <w:t xml:space="preserve"> (</w:t>
      </w:r>
      <w:r w:rsidRPr="0059796E">
        <w:rPr>
          <w:lang w:val="is-IS"/>
        </w:rPr>
        <w:t xml:space="preserve">nýr texti er </w:t>
      </w:r>
      <w:r w:rsidRPr="0059796E">
        <w:rPr>
          <w:b/>
          <w:bCs/>
          <w:u w:val="single"/>
          <w:lang w:val="is-IS"/>
        </w:rPr>
        <w:t>undirstrikaður og feitletraður</w:t>
      </w:r>
      <w:r w:rsidRPr="00534BC4">
        <w:rPr>
          <w:u w:val="single"/>
          <w:lang w:val="is-IS"/>
        </w:rPr>
        <w:t xml:space="preserve"> </w:t>
      </w:r>
      <w:r>
        <w:rPr>
          <w:lang w:val="is-IS"/>
        </w:rPr>
        <w:t>t</w:t>
      </w:r>
      <w:r w:rsidRPr="0059796E">
        <w:rPr>
          <w:lang w:val="is-IS"/>
        </w:rPr>
        <w:t xml:space="preserve">exti sem á að eyða er </w:t>
      </w:r>
      <w:r w:rsidRPr="0059796E">
        <w:rPr>
          <w:strike/>
          <w:lang w:val="is-IS"/>
        </w:rPr>
        <w:t>yfirstrikaður</w:t>
      </w:r>
      <w:r>
        <w:t>):</w:t>
      </w:r>
    </w:p>
    <w:p w14:paraId="41A7473D" w14:textId="77777777" w:rsidR="008D12AC" w:rsidRDefault="008D12AC" w:rsidP="008D12AC">
      <w:pPr>
        <w:pStyle w:val="BodytextAgency"/>
      </w:pPr>
      <w:r w:rsidRPr="004301CB">
        <w:rPr>
          <w:b/>
          <w:bCs/>
        </w:rPr>
        <w:t xml:space="preserve">SmPC </w:t>
      </w:r>
      <w:proofErr w:type="spellStart"/>
      <w:r>
        <w:rPr>
          <w:b/>
          <w:bCs/>
        </w:rPr>
        <w:t>kafli</w:t>
      </w:r>
      <w:proofErr w:type="spellEnd"/>
      <w:r>
        <w:rPr>
          <w:b/>
          <w:bCs/>
        </w:rPr>
        <w:t xml:space="preserve"> </w:t>
      </w:r>
      <w:r w:rsidRPr="004301CB">
        <w:rPr>
          <w:b/>
          <w:bCs/>
        </w:rPr>
        <w:t>4.8</w:t>
      </w:r>
      <w:r>
        <w:t>:</w:t>
      </w:r>
    </w:p>
    <w:p w14:paraId="4964D969" w14:textId="77777777" w:rsidR="008D12AC" w:rsidRDefault="008D12AC" w:rsidP="008D12AC">
      <w:pPr>
        <w:pStyle w:val="BodytextAgency"/>
      </w:pPr>
      <w:proofErr w:type="spellStart"/>
      <w:r>
        <w:t>Til</w:t>
      </w:r>
      <w:proofErr w:type="spellEnd"/>
      <w:r>
        <w:t xml:space="preserve"> </w:t>
      </w:r>
      <w:proofErr w:type="spellStart"/>
      <w:r>
        <w:t>viðbótar</w:t>
      </w:r>
      <w:proofErr w:type="spellEnd"/>
      <w:r>
        <w:t xml:space="preserve"> fyrir </w:t>
      </w:r>
      <w:proofErr w:type="spellStart"/>
      <w:r>
        <w:t>neðan</w:t>
      </w:r>
      <w:proofErr w:type="spellEnd"/>
      <w:r>
        <w:t xml:space="preserve"> </w:t>
      </w:r>
      <w:proofErr w:type="spellStart"/>
      <w:r>
        <w:t>töfluna</w:t>
      </w:r>
      <w:proofErr w:type="spellEnd"/>
      <w:r>
        <w:t>:</w:t>
      </w:r>
    </w:p>
    <w:p w14:paraId="3CF55A5A" w14:textId="77777777" w:rsidR="008D12AC" w:rsidRPr="00534BC4" w:rsidRDefault="008D12AC" w:rsidP="008D12AC">
      <w:pPr>
        <w:pStyle w:val="BodytextAgency"/>
        <w:rPr>
          <w:b/>
          <w:bCs/>
          <w:u w:val="single"/>
        </w:rPr>
      </w:pPr>
      <w:proofErr w:type="spellStart"/>
      <w:r w:rsidRPr="00534BC4">
        <w:rPr>
          <w:b/>
          <w:bCs/>
          <w:u w:val="single"/>
        </w:rPr>
        <w:lastRenderedPageBreak/>
        <w:t>Greint</w:t>
      </w:r>
      <w:proofErr w:type="spellEnd"/>
      <w:r w:rsidRPr="00534BC4">
        <w:rPr>
          <w:b/>
          <w:bCs/>
          <w:u w:val="single"/>
        </w:rPr>
        <w:t xml:space="preserve"> hefur verið frá </w:t>
      </w:r>
      <w:proofErr w:type="spellStart"/>
      <w:r w:rsidRPr="00534BC4">
        <w:rPr>
          <w:b/>
          <w:bCs/>
          <w:u w:val="single"/>
        </w:rPr>
        <w:t>tilvikum</w:t>
      </w:r>
      <w:proofErr w:type="spellEnd"/>
      <w:r w:rsidRPr="00534BC4">
        <w:rPr>
          <w:b/>
          <w:bCs/>
          <w:u w:val="single"/>
        </w:rPr>
        <w:t xml:space="preserve"> um </w:t>
      </w:r>
      <w:proofErr w:type="spellStart"/>
      <w:r w:rsidRPr="00534BC4">
        <w:rPr>
          <w:b/>
          <w:bCs/>
          <w:u w:val="single"/>
        </w:rPr>
        <w:t>alvarlegar</w:t>
      </w:r>
      <w:proofErr w:type="spellEnd"/>
      <w:r w:rsidRPr="00534BC4">
        <w:rPr>
          <w:b/>
          <w:bCs/>
          <w:u w:val="single"/>
        </w:rPr>
        <w:t xml:space="preserve"> og </w:t>
      </w:r>
      <w:proofErr w:type="spellStart"/>
      <w:r w:rsidRPr="00534BC4">
        <w:rPr>
          <w:b/>
          <w:bCs/>
          <w:u w:val="single"/>
        </w:rPr>
        <w:t>óafturkræfar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eiturverkanir</w:t>
      </w:r>
      <w:proofErr w:type="spellEnd"/>
      <w:r w:rsidRPr="00534BC4">
        <w:rPr>
          <w:b/>
          <w:bCs/>
          <w:u w:val="single"/>
        </w:rPr>
        <w:t xml:space="preserve"> á </w:t>
      </w:r>
      <w:proofErr w:type="spellStart"/>
      <w:r w:rsidRPr="00534BC4">
        <w:rPr>
          <w:b/>
          <w:bCs/>
          <w:u w:val="single"/>
        </w:rPr>
        <w:t>lifur</w:t>
      </w:r>
      <w:proofErr w:type="spellEnd"/>
      <w:r w:rsidRPr="00534BC4">
        <w:rPr>
          <w:b/>
          <w:bCs/>
          <w:u w:val="single"/>
        </w:rPr>
        <w:t>/</w:t>
      </w:r>
      <w:proofErr w:type="spellStart"/>
      <w:r w:rsidRPr="00534BC4">
        <w:rPr>
          <w:b/>
          <w:bCs/>
          <w:u w:val="single"/>
        </w:rPr>
        <w:t>bráða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lifrarbilun</w:t>
      </w:r>
      <w:proofErr w:type="spellEnd"/>
      <w:r w:rsidRPr="00534BC4">
        <w:rPr>
          <w:b/>
          <w:bCs/>
          <w:u w:val="single"/>
        </w:rPr>
        <w:t xml:space="preserve">, þ.m.t. </w:t>
      </w:r>
      <w:proofErr w:type="spellStart"/>
      <w:r w:rsidRPr="00534BC4">
        <w:rPr>
          <w:b/>
          <w:bCs/>
          <w:u w:val="single"/>
        </w:rPr>
        <w:t>tilvik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sem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leiddu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til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dauðsfalla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sem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komu</w:t>
      </w:r>
      <w:proofErr w:type="spellEnd"/>
      <w:r w:rsidRPr="00534BC4">
        <w:rPr>
          <w:b/>
          <w:bCs/>
          <w:u w:val="single"/>
        </w:rPr>
        <w:t xml:space="preserve"> mjög </w:t>
      </w:r>
      <w:proofErr w:type="spellStart"/>
      <w:r w:rsidRPr="00534BC4">
        <w:rPr>
          <w:b/>
          <w:bCs/>
          <w:u w:val="single"/>
        </w:rPr>
        <w:t>skyndilega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fram</w:t>
      </w:r>
      <w:proofErr w:type="spellEnd"/>
      <w:r w:rsidRPr="00534BC4">
        <w:rPr>
          <w:b/>
          <w:bCs/>
          <w:u w:val="single"/>
        </w:rPr>
        <w:t xml:space="preserve"> eftir að </w:t>
      </w:r>
      <w:proofErr w:type="spellStart"/>
      <w:r w:rsidRPr="00534BC4">
        <w:rPr>
          <w:b/>
          <w:bCs/>
          <w:u w:val="single"/>
        </w:rPr>
        <w:t>meðferð</w:t>
      </w:r>
      <w:proofErr w:type="spellEnd"/>
      <w:r w:rsidRPr="00534BC4">
        <w:rPr>
          <w:b/>
          <w:bCs/>
          <w:u w:val="single"/>
        </w:rPr>
        <w:t xml:space="preserve"> með </w:t>
      </w:r>
      <w:proofErr w:type="spellStart"/>
      <w:r w:rsidRPr="00534BC4">
        <w:rPr>
          <w:b/>
          <w:bCs/>
          <w:u w:val="single"/>
        </w:rPr>
        <w:t>metróndíazóli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til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altækrar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notkunar</w:t>
      </w:r>
      <w:proofErr w:type="spellEnd"/>
      <w:r w:rsidRPr="00534BC4">
        <w:rPr>
          <w:b/>
          <w:bCs/>
          <w:u w:val="single"/>
        </w:rPr>
        <w:t xml:space="preserve"> var </w:t>
      </w:r>
      <w:proofErr w:type="spellStart"/>
      <w:r w:rsidRPr="00534BC4">
        <w:rPr>
          <w:b/>
          <w:bCs/>
          <w:u w:val="single"/>
        </w:rPr>
        <w:t>hafin</w:t>
      </w:r>
      <w:proofErr w:type="spellEnd"/>
      <w:r w:rsidRPr="00534BC4">
        <w:rPr>
          <w:b/>
          <w:bCs/>
          <w:u w:val="single"/>
        </w:rPr>
        <w:t xml:space="preserve">, hjá </w:t>
      </w:r>
      <w:proofErr w:type="spellStart"/>
      <w:r w:rsidRPr="00534BC4">
        <w:rPr>
          <w:b/>
          <w:bCs/>
          <w:u w:val="single"/>
        </w:rPr>
        <w:t>sjúklingum</w:t>
      </w:r>
      <w:proofErr w:type="spellEnd"/>
      <w:r w:rsidRPr="00534BC4">
        <w:rPr>
          <w:b/>
          <w:bCs/>
          <w:u w:val="single"/>
        </w:rPr>
        <w:t xml:space="preserve"> með Cockayne </w:t>
      </w:r>
      <w:proofErr w:type="spellStart"/>
      <w:r w:rsidRPr="00534BC4">
        <w:rPr>
          <w:b/>
          <w:bCs/>
          <w:u w:val="single"/>
        </w:rPr>
        <w:t>heilkenni</w:t>
      </w:r>
      <w:proofErr w:type="spellEnd"/>
      <w:r w:rsidRPr="00534BC4">
        <w:rPr>
          <w:b/>
          <w:bCs/>
          <w:u w:val="single"/>
        </w:rPr>
        <w:t xml:space="preserve"> (</w:t>
      </w:r>
      <w:proofErr w:type="spellStart"/>
      <w:r w:rsidRPr="00534BC4">
        <w:rPr>
          <w:b/>
          <w:bCs/>
          <w:u w:val="single"/>
        </w:rPr>
        <w:t>sjá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kafla</w:t>
      </w:r>
      <w:proofErr w:type="spellEnd"/>
      <w:r w:rsidRPr="00534BC4">
        <w:rPr>
          <w:b/>
          <w:bCs/>
          <w:u w:val="single"/>
        </w:rPr>
        <w:t xml:space="preserve"> 4.4).</w:t>
      </w:r>
    </w:p>
    <w:p w14:paraId="2B97F3EE" w14:textId="77777777" w:rsidR="008D12AC" w:rsidRPr="004301CB" w:rsidRDefault="008D12AC" w:rsidP="008D12AC">
      <w:pPr>
        <w:pStyle w:val="BodytextAgency"/>
        <w:rPr>
          <w:b/>
          <w:bCs/>
        </w:rPr>
      </w:pPr>
      <w:proofErr w:type="spellStart"/>
      <w:r>
        <w:rPr>
          <w:b/>
          <w:bCs/>
        </w:rPr>
        <w:t>Fylgiseðill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kafli</w:t>
      </w:r>
      <w:proofErr w:type="spellEnd"/>
      <w:r>
        <w:rPr>
          <w:b/>
          <w:bCs/>
        </w:rPr>
        <w:t xml:space="preserve"> </w:t>
      </w:r>
      <w:r w:rsidRPr="004301CB">
        <w:rPr>
          <w:b/>
          <w:bCs/>
        </w:rPr>
        <w:t>4:</w:t>
      </w:r>
    </w:p>
    <w:p w14:paraId="7F75C501" w14:textId="77777777" w:rsidR="008D12AC" w:rsidRDefault="008D12AC" w:rsidP="008D12AC">
      <w:pPr>
        <w:pStyle w:val="BodytextAgency"/>
      </w:pPr>
      <w:proofErr w:type="spellStart"/>
      <w:r>
        <w:t>Bæta</w:t>
      </w:r>
      <w:proofErr w:type="spellEnd"/>
      <w:r>
        <w:t xml:space="preserve"> við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upptalningu</w:t>
      </w:r>
      <w:proofErr w:type="spellEnd"/>
      <w:r>
        <w:t xml:space="preserve"> </w:t>
      </w:r>
      <w:proofErr w:type="spellStart"/>
      <w:r>
        <w:t>heita</w:t>
      </w:r>
      <w:proofErr w:type="spellEnd"/>
      <w:r>
        <w:t xml:space="preserve"> með </w:t>
      </w:r>
      <w:proofErr w:type="spellStart"/>
      <w:r>
        <w:t>tíðni</w:t>
      </w:r>
      <w:proofErr w:type="spellEnd"/>
      <w:r>
        <w:t xml:space="preserve"> “</w:t>
      </w:r>
      <w:proofErr w:type="spellStart"/>
      <w:r>
        <w:t>tíðni</w:t>
      </w:r>
      <w:proofErr w:type="spellEnd"/>
      <w:r>
        <w:t xml:space="preserve"> ekki </w:t>
      </w:r>
      <w:proofErr w:type="spellStart"/>
      <w:r>
        <w:t>þekkt</w:t>
      </w:r>
      <w:proofErr w:type="spellEnd"/>
      <w:r>
        <w:t xml:space="preserve"> (ekki hægt að </w:t>
      </w:r>
      <w:proofErr w:type="spellStart"/>
      <w:r>
        <w:t>áætla</w:t>
      </w:r>
      <w:proofErr w:type="spellEnd"/>
      <w:r>
        <w:t xml:space="preserve"> </w:t>
      </w:r>
      <w:proofErr w:type="spellStart"/>
      <w:r>
        <w:t>tíðni</w:t>
      </w:r>
      <w:proofErr w:type="spellEnd"/>
      <w:r>
        <w:t xml:space="preserve"> út frá </w:t>
      </w:r>
      <w:proofErr w:type="spellStart"/>
      <w:r>
        <w:t>fyrirliggjandi</w:t>
      </w:r>
      <w:proofErr w:type="spellEnd"/>
      <w:r>
        <w:t xml:space="preserve"> </w:t>
      </w:r>
      <w:proofErr w:type="spellStart"/>
      <w:r>
        <w:t>gögnum</w:t>
      </w:r>
      <w:proofErr w:type="spellEnd"/>
      <w:r>
        <w:t xml:space="preserve">)”: </w:t>
      </w:r>
    </w:p>
    <w:p w14:paraId="6413A582" w14:textId="77777777" w:rsidR="008D12AC" w:rsidRPr="00534BC4" w:rsidRDefault="008D12AC" w:rsidP="008D12AC">
      <w:pPr>
        <w:pStyle w:val="BodytextAgency"/>
        <w:rPr>
          <w:b/>
          <w:bCs/>
          <w:u w:val="single"/>
        </w:rPr>
      </w:pPr>
      <w:proofErr w:type="spellStart"/>
      <w:r w:rsidRPr="00534BC4">
        <w:rPr>
          <w:b/>
          <w:bCs/>
          <w:u w:val="single"/>
        </w:rPr>
        <w:t>Bráð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lifrarbilun</w:t>
      </w:r>
      <w:proofErr w:type="spellEnd"/>
      <w:r w:rsidRPr="00534BC4">
        <w:rPr>
          <w:b/>
          <w:bCs/>
          <w:u w:val="single"/>
        </w:rPr>
        <w:t xml:space="preserve"> hjá </w:t>
      </w:r>
      <w:proofErr w:type="spellStart"/>
      <w:r w:rsidRPr="00534BC4">
        <w:rPr>
          <w:b/>
          <w:bCs/>
          <w:u w:val="single"/>
        </w:rPr>
        <w:t>sjúklingum</w:t>
      </w:r>
      <w:proofErr w:type="spellEnd"/>
      <w:r w:rsidRPr="00534BC4">
        <w:rPr>
          <w:b/>
          <w:bCs/>
          <w:u w:val="single"/>
        </w:rPr>
        <w:t xml:space="preserve"> með Cockayne </w:t>
      </w:r>
      <w:proofErr w:type="spellStart"/>
      <w:r w:rsidRPr="00534BC4">
        <w:rPr>
          <w:b/>
          <w:bCs/>
          <w:u w:val="single"/>
        </w:rPr>
        <w:t>heilkenni</w:t>
      </w:r>
      <w:proofErr w:type="spellEnd"/>
      <w:r w:rsidRPr="00534BC4">
        <w:rPr>
          <w:b/>
          <w:bCs/>
          <w:u w:val="single"/>
        </w:rPr>
        <w:t xml:space="preserve"> (</w:t>
      </w:r>
      <w:proofErr w:type="spellStart"/>
      <w:r w:rsidRPr="00534BC4">
        <w:rPr>
          <w:b/>
          <w:bCs/>
          <w:u w:val="single"/>
        </w:rPr>
        <w:t>sjá</w:t>
      </w:r>
      <w:proofErr w:type="spellEnd"/>
      <w:r w:rsidRPr="00534BC4">
        <w:rPr>
          <w:b/>
          <w:bCs/>
          <w:u w:val="single"/>
        </w:rPr>
        <w:t xml:space="preserve"> </w:t>
      </w:r>
      <w:proofErr w:type="spellStart"/>
      <w:r w:rsidRPr="00534BC4">
        <w:rPr>
          <w:b/>
          <w:bCs/>
          <w:u w:val="single"/>
        </w:rPr>
        <w:t>kafla</w:t>
      </w:r>
      <w:proofErr w:type="spellEnd"/>
      <w:r w:rsidRPr="00534BC4">
        <w:rPr>
          <w:b/>
          <w:bCs/>
          <w:u w:val="single"/>
        </w:rPr>
        <w:t xml:space="preserve"> 2 “</w:t>
      </w:r>
      <w:proofErr w:type="spellStart"/>
      <w:r w:rsidRPr="00534BC4">
        <w:rPr>
          <w:b/>
          <w:bCs/>
          <w:u w:val="single"/>
        </w:rPr>
        <w:t>Varnaðarorð</w:t>
      </w:r>
      <w:proofErr w:type="spellEnd"/>
      <w:r w:rsidRPr="00534BC4">
        <w:rPr>
          <w:b/>
          <w:bCs/>
          <w:u w:val="single"/>
        </w:rPr>
        <w:t xml:space="preserve"> og </w:t>
      </w:r>
      <w:proofErr w:type="spellStart"/>
      <w:r w:rsidRPr="00534BC4">
        <w:rPr>
          <w:b/>
          <w:bCs/>
          <w:u w:val="single"/>
        </w:rPr>
        <w:t>varúðarreglur</w:t>
      </w:r>
      <w:proofErr w:type="spellEnd"/>
      <w:r w:rsidRPr="00534BC4">
        <w:rPr>
          <w:b/>
          <w:bCs/>
          <w:u w:val="single"/>
        </w:rPr>
        <w:t>”)</w:t>
      </w:r>
    </w:p>
    <w:p w14:paraId="60C146AA" w14:textId="77777777" w:rsidR="008D12AC" w:rsidRDefault="008D12AC" w:rsidP="008D12AC">
      <w:pPr>
        <w:pStyle w:val="BodytextAgency"/>
      </w:pPr>
      <w:r>
        <w:t xml:space="preserve">Því er </w:t>
      </w:r>
      <w:proofErr w:type="spellStart"/>
      <w:r>
        <w:t>beint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þeirra MLH </w:t>
      </w:r>
      <w:proofErr w:type="spellStart"/>
      <w:r>
        <w:t>sem</w:t>
      </w:r>
      <w:proofErr w:type="spellEnd"/>
      <w:r>
        <w:t xml:space="preserve"> málið </w:t>
      </w:r>
      <w:proofErr w:type="spellStart"/>
      <w:r>
        <w:t>viðkemur</w:t>
      </w:r>
      <w:proofErr w:type="spellEnd"/>
      <w:r>
        <w:t xml:space="preserve"> að </w:t>
      </w:r>
      <w:proofErr w:type="spellStart"/>
      <w:r>
        <w:t>leggja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umsókn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tegund</w:t>
      </w:r>
      <w:proofErr w:type="spellEnd"/>
      <w:r>
        <w:t xml:space="preserve"> IB í </w:t>
      </w:r>
      <w:proofErr w:type="spellStart"/>
      <w:r>
        <w:t>undirflokki</w:t>
      </w:r>
      <w:proofErr w:type="spellEnd"/>
      <w:r>
        <w:t xml:space="preserve"> </w:t>
      </w:r>
      <w:proofErr w:type="spellStart"/>
      <w:r>
        <w:t>C.I.z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2 mánaða frá </w:t>
      </w:r>
      <w:proofErr w:type="spellStart"/>
      <w:r>
        <w:t>birtingardagsetningu</w:t>
      </w:r>
      <w:proofErr w:type="spellEnd"/>
      <w:r>
        <w:t xml:space="preserve"> </w:t>
      </w:r>
      <w:proofErr w:type="spellStart"/>
      <w:r>
        <w:t>fréttatilkynningar</w:t>
      </w:r>
      <w:proofErr w:type="spellEnd"/>
      <w:r>
        <w:t xml:space="preserve"> </w:t>
      </w:r>
      <w:proofErr w:type="spellStart"/>
      <w:r>
        <w:t>CMDh</w:t>
      </w:r>
      <w:proofErr w:type="spellEnd"/>
      <w:r>
        <w:t>.</w:t>
      </w:r>
      <w:r w:rsidRPr="004301CB">
        <w:t xml:space="preserve"> </w:t>
      </w:r>
    </w:p>
    <w:p w14:paraId="71C0CACF" w14:textId="77777777" w:rsidR="008D12AC" w:rsidRPr="00D664A4" w:rsidRDefault="008D12AC" w:rsidP="008D12AC">
      <w:pPr>
        <w:pStyle w:val="BodytextAgency"/>
      </w:pPr>
      <w:r>
        <w:t xml:space="preserve">Það er </w:t>
      </w:r>
      <w:proofErr w:type="spellStart"/>
      <w:r>
        <w:t>almennt</w:t>
      </w:r>
      <w:proofErr w:type="spellEnd"/>
      <w:r>
        <w:t xml:space="preserve"> ekki </w:t>
      </w:r>
      <w:proofErr w:type="spellStart"/>
      <w:r>
        <w:t>fyrirséð</w:t>
      </w:r>
      <w:proofErr w:type="spellEnd"/>
      <w:r>
        <w:t xml:space="preserve"> að </w:t>
      </w:r>
      <w:proofErr w:type="spellStart"/>
      <w:r>
        <w:t>útbúa</w:t>
      </w:r>
      <w:proofErr w:type="spellEnd"/>
      <w:r>
        <w:t xml:space="preserve"> </w:t>
      </w:r>
      <w:proofErr w:type="spellStart"/>
      <w:r>
        <w:t>þýðingar</w:t>
      </w:r>
      <w:proofErr w:type="spellEnd"/>
      <w:r>
        <w:t xml:space="preserve"> frá </w:t>
      </w:r>
      <w:proofErr w:type="spellStart"/>
      <w:r>
        <w:t>CMDh</w:t>
      </w:r>
      <w:proofErr w:type="spellEnd"/>
      <w:r>
        <w:t xml:space="preserve">. </w:t>
      </w:r>
      <w:proofErr w:type="spellStart"/>
      <w:r>
        <w:t>Þó</w:t>
      </w:r>
      <w:proofErr w:type="spellEnd"/>
      <w:r>
        <w:t xml:space="preserve"> má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ráð</w:t>
      </w:r>
      <w:proofErr w:type="spellEnd"/>
      <w:r>
        <w:t xml:space="preserve"> fyrir að </w:t>
      </w:r>
      <w:proofErr w:type="spellStart"/>
      <w:r>
        <w:t>einhver</w:t>
      </w:r>
      <w:proofErr w:type="spellEnd"/>
      <w:r>
        <w:t xml:space="preserve"> </w:t>
      </w:r>
      <w:proofErr w:type="spellStart"/>
      <w:r>
        <w:t>aðildarlönd</w:t>
      </w:r>
      <w:proofErr w:type="spellEnd"/>
      <w:r>
        <w:t xml:space="preserve"> </w:t>
      </w:r>
      <w:proofErr w:type="spellStart"/>
      <w:r>
        <w:t>muni</w:t>
      </w:r>
      <w:proofErr w:type="spellEnd"/>
      <w:r>
        <w:t xml:space="preserve"> </w:t>
      </w:r>
      <w:proofErr w:type="spellStart"/>
      <w:r>
        <w:t>útbúa</w:t>
      </w:r>
      <w:proofErr w:type="spellEnd"/>
      <w:r>
        <w:t xml:space="preserve"> </w:t>
      </w:r>
      <w:proofErr w:type="spellStart"/>
      <w:r>
        <w:t>þýðingar</w:t>
      </w:r>
      <w:proofErr w:type="spellEnd"/>
      <w:r>
        <w:t xml:space="preserve"> og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aðgengilegar</w:t>
      </w:r>
      <w:proofErr w:type="spellEnd"/>
      <w:r>
        <w:t xml:space="preserve"> á </w:t>
      </w:r>
      <w:proofErr w:type="spellStart"/>
      <w:r>
        <w:t>sínum</w:t>
      </w:r>
      <w:proofErr w:type="spellEnd"/>
      <w:r>
        <w:t xml:space="preserve"> </w:t>
      </w:r>
      <w:proofErr w:type="spellStart"/>
      <w:r>
        <w:t>vefsvæðum</w:t>
      </w:r>
      <w:proofErr w:type="spellEnd"/>
      <w:r>
        <w:t>.</w:t>
      </w:r>
    </w:p>
    <w:p w14:paraId="0C316C5A" w14:textId="77777777" w:rsidR="008D12AC" w:rsidRPr="004301CB" w:rsidRDefault="008D12AC" w:rsidP="008D12AC">
      <w:pPr>
        <w:pStyle w:val="BodytextAgency"/>
        <w:rPr>
          <w:lang w:val="x-none"/>
        </w:rPr>
      </w:pPr>
      <w:r>
        <w:t xml:space="preserve">Mælt er með </w:t>
      </w:r>
      <w:proofErr w:type="spellStart"/>
      <w:r>
        <w:t>framlagningu</w:t>
      </w:r>
      <w:proofErr w:type="spellEnd"/>
      <w:r>
        <w:t xml:space="preserve"> </w:t>
      </w:r>
      <w:proofErr w:type="spellStart"/>
      <w:r>
        <w:t>umsókna</w:t>
      </w:r>
      <w:proofErr w:type="spellEnd"/>
      <w:r>
        <w:t xml:space="preserve"> í </w:t>
      </w:r>
      <w:proofErr w:type="spellStart"/>
      <w:r>
        <w:t>verkdeilingarferli</w:t>
      </w:r>
      <w:proofErr w:type="spellEnd"/>
      <w:r>
        <w:t xml:space="preserve"> (</w:t>
      </w:r>
      <w:proofErr w:type="spellStart"/>
      <w:r>
        <w:t>worksharing</w:t>
      </w:r>
      <w:proofErr w:type="spellEnd"/>
      <w:r>
        <w:t>), þegar það á við.</w:t>
      </w:r>
    </w:p>
    <w:p w14:paraId="5F1663A1" w14:textId="77777777" w:rsidR="008D12AC" w:rsidRDefault="008D12AC" w:rsidP="008D12AC">
      <w:pPr>
        <w:pStyle w:val="BodytextAgency"/>
      </w:pPr>
      <w:proofErr w:type="spellStart"/>
      <w:r>
        <w:t>Framlagning</w:t>
      </w:r>
      <w:proofErr w:type="spellEnd"/>
      <w:r>
        <w:t xml:space="preserve"> </w:t>
      </w:r>
      <w:proofErr w:type="spellStart"/>
      <w:r>
        <w:t>tegundarbreytingar</w:t>
      </w:r>
      <w:proofErr w:type="spellEnd"/>
      <w:r>
        <w:t xml:space="preserve"> með </w:t>
      </w:r>
      <w:proofErr w:type="spellStart"/>
      <w:r>
        <w:t>fráviki</w:t>
      </w:r>
      <w:proofErr w:type="spellEnd"/>
      <w:r>
        <w:t xml:space="preserve"> í </w:t>
      </w:r>
      <w:proofErr w:type="spellStart"/>
      <w:r>
        <w:t>orðalagi</w:t>
      </w:r>
      <w:proofErr w:type="spellEnd"/>
      <w:r>
        <w:t xml:space="preserve"> þarf að </w:t>
      </w:r>
      <w:proofErr w:type="spellStart"/>
      <w:r>
        <w:t>styðja</w:t>
      </w:r>
      <w:proofErr w:type="spellEnd"/>
      <w:r>
        <w:t xml:space="preserve"> með </w:t>
      </w:r>
      <w:proofErr w:type="spellStart"/>
      <w:r>
        <w:t>viðbótargögnum</w:t>
      </w:r>
      <w:proofErr w:type="spellEnd"/>
      <w:r>
        <w:t xml:space="preserve"> og </w:t>
      </w:r>
      <w:proofErr w:type="spellStart"/>
      <w:r>
        <w:t>leggja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umsókn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tegund</w:t>
      </w:r>
      <w:proofErr w:type="spellEnd"/>
      <w:r>
        <w:t xml:space="preserve"> II, </w:t>
      </w:r>
      <w:proofErr w:type="spellStart"/>
      <w:r>
        <w:t>undirflokk</w:t>
      </w:r>
      <w:proofErr w:type="spellEnd"/>
      <w:r>
        <w:t xml:space="preserve"> C.I.4.</w:t>
      </w:r>
      <w:bookmarkEnd w:id="1"/>
      <w:bookmarkEnd w:id="2"/>
      <w:bookmarkEnd w:id="3"/>
      <w:bookmarkEnd w:id="4"/>
    </w:p>
    <w:p w14:paraId="7B3559A2" w14:textId="77777777" w:rsidR="00760319" w:rsidRPr="00760319" w:rsidRDefault="00760319" w:rsidP="00760319"/>
    <w:p w14:paraId="48BC9C6E" w14:textId="77777777" w:rsidR="00760319" w:rsidRPr="00760319" w:rsidRDefault="00760319" w:rsidP="00760319"/>
    <w:p w14:paraId="06C9F61D" w14:textId="77777777" w:rsidR="00760319" w:rsidRPr="00760319" w:rsidRDefault="00760319" w:rsidP="00760319"/>
    <w:p w14:paraId="0CF37B53" w14:textId="77777777" w:rsidR="00760319" w:rsidRPr="00760319" w:rsidRDefault="00760319" w:rsidP="00760319"/>
    <w:p w14:paraId="73CEC8E2" w14:textId="77777777" w:rsidR="00760319" w:rsidRPr="00760319" w:rsidRDefault="00760319" w:rsidP="00760319"/>
    <w:p w14:paraId="5EFD8CF9" w14:textId="77777777" w:rsidR="00760319" w:rsidRPr="00760319" w:rsidRDefault="00760319" w:rsidP="00760319"/>
    <w:p w14:paraId="40160480" w14:textId="77777777" w:rsidR="00760319" w:rsidRPr="00760319" w:rsidRDefault="00760319" w:rsidP="00760319"/>
    <w:p w14:paraId="27B76663" w14:textId="77777777" w:rsidR="00760319" w:rsidRPr="00760319" w:rsidRDefault="00760319" w:rsidP="00760319"/>
    <w:p w14:paraId="41DFAD2C" w14:textId="77777777" w:rsidR="00760319" w:rsidRPr="00760319" w:rsidRDefault="00760319" w:rsidP="00760319"/>
    <w:p w14:paraId="3D033638" w14:textId="77777777" w:rsidR="00760319" w:rsidRPr="00760319" w:rsidRDefault="00760319" w:rsidP="00760319"/>
    <w:p w14:paraId="3F43D5E4" w14:textId="77777777" w:rsidR="00760319" w:rsidRPr="00760319" w:rsidRDefault="00760319" w:rsidP="00760319"/>
    <w:p w14:paraId="2871539C" w14:textId="77777777" w:rsidR="00760319" w:rsidRPr="00760319" w:rsidRDefault="00760319" w:rsidP="00760319"/>
    <w:p w14:paraId="1EA161F6" w14:textId="77777777" w:rsidR="00760319" w:rsidRPr="00760319" w:rsidRDefault="00760319" w:rsidP="00760319"/>
    <w:p w14:paraId="3037EF7D" w14:textId="77777777" w:rsidR="00760319" w:rsidRPr="00760319" w:rsidRDefault="00760319" w:rsidP="00760319"/>
    <w:p w14:paraId="6CEB4F12" w14:textId="77777777" w:rsidR="00760319" w:rsidRPr="00760319" w:rsidRDefault="00760319" w:rsidP="00760319"/>
    <w:p w14:paraId="1A455C61" w14:textId="77777777" w:rsidR="00760319" w:rsidRPr="00760319" w:rsidRDefault="00760319" w:rsidP="00760319"/>
    <w:p w14:paraId="71F5AC02" w14:textId="77777777" w:rsidR="00760319" w:rsidRPr="00760319" w:rsidRDefault="00760319" w:rsidP="00760319"/>
    <w:p w14:paraId="78D4C075" w14:textId="77777777" w:rsidR="00760319" w:rsidRPr="00760319" w:rsidRDefault="00760319" w:rsidP="00760319"/>
    <w:p w14:paraId="14E852E6" w14:textId="77777777" w:rsidR="00760319" w:rsidRPr="00760319" w:rsidRDefault="00760319" w:rsidP="00760319"/>
    <w:p w14:paraId="2FC107EA" w14:textId="77777777" w:rsidR="00760319" w:rsidRPr="00760319" w:rsidRDefault="00760319" w:rsidP="00760319"/>
    <w:p w14:paraId="1B5964FE" w14:textId="77777777" w:rsidR="00760319" w:rsidRPr="00760319" w:rsidRDefault="00760319" w:rsidP="00760319"/>
    <w:p w14:paraId="4F84149A" w14:textId="77777777" w:rsidR="00760319" w:rsidRDefault="00760319" w:rsidP="00760319"/>
    <w:p w14:paraId="191737DB" w14:textId="77777777" w:rsidR="00B07365" w:rsidRPr="00760319" w:rsidRDefault="00760319" w:rsidP="00760319">
      <w:pPr>
        <w:tabs>
          <w:tab w:val="left" w:pos="3150"/>
        </w:tabs>
      </w:pPr>
      <w:r>
        <w:tab/>
      </w:r>
    </w:p>
    <w:sectPr w:rsidR="00B07365" w:rsidRPr="007603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D382" w14:textId="77777777" w:rsidR="008D12AC" w:rsidRDefault="008D12AC" w:rsidP="00760319">
      <w:r>
        <w:separator/>
      </w:r>
    </w:p>
  </w:endnote>
  <w:endnote w:type="continuationSeparator" w:id="0">
    <w:p w14:paraId="66ACE089" w14:textId="77777777" w:rsidR="008D12AC" w:rsidRDefault="008D12AC" w:rsidP="0076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3E69" w14:textId="77777777" w:rsidR="00760319" w:rsidRPr="00760319" w:rsidRDefault="00760319" w:rsidP="00760319">
    <w:pPr>
      <w:autoSpaceDE w:val="0"/>
      <w:autoSpaceDN w:val="0"/>
      <w:adjustRightInd w:val="0"/>
      <w:spacing w:line="192" w:lineRule="exact"/>
      <w:ind w:left="40" w:right="-20"/>
      <w:rPr>
        <w:rFonts w:ascii="Segoe UI" w:hAnsi="Segoe UI" w:cs="Segoe UI"/>
        <w:color w:val="000000"/>
      </w:rPr>
    </w:pPr>
    <w:r>
      <w:rPr>
        <w:rFonts w:ascii="Segoe UI" w:hAnsi="Segoe UI" w:cs="Segoe UI"/>
        <w:noProof/>
        <w:color w:val="0060A9"/>
        <w:spacing w:val="1"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1ACC7" wp14:editId="303E5085">
              <wp:simplePos x="0" y="0"/>
              <wp:positionH relativeFrom="column">
                <wp:posOffset>-33020</wp:posOffset>
              </wp:positionH>
              <wp:positionV relativeFrom="paragraph">
                <wp:posOffset>-44450</wp:posOffset>
              </wp:positionV>
              <wp:extent cx="54673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>
                        <a:solidFill>
                          <a:srgbClr val="0061A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55B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3.5pt" to="427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" strokecolor="#0061a8" strokeweight=".5pt">
              <v:stroke joinstyle="miter"/>
            </v:line>
          </w:pict>
        </mc:Fallback>
      </mc:AlternateContent>
    </w:r>
    <w:r w:rsidRPr="00760319">
      <w:rPr>
        <w:rFonts w:ascii="Segoe UI" w:hAnsi="Segoe UI" w:cs="Segoe UI"/>
        <w:color w:val="0060A9"/>
        <w:spacing w:val="1"/>
        <w:w w:val="87"/>
      </w:rPr>
      <w:t>P</w:t>
    </w:r>
    <w:r w:rsidRPr="00760319">
      <w:rPr>
        <w:rFonts w:ascii="Segoe UI" w:hAnsi="Segoe UI" w:cs="Segoe UI"/>
        <w:color w:val="0060A9"/>
        <w:spacing w:val="2"/>
        <w:w w:val="107"/>
      </w:rPr>
      <w:t>ós</w:t>
    </w:r>
    <w:r w:rsidRPr="00760319">
      <w:rPr>
        <w:rFonts w:ascii="Segoe UI" w:hAnsi="Segoe UI" w:cs="Segoe UI"/>
        <w:color w:val="0060A9"/>
        <w:spacing w:val="-3"/>
        <w:w w:val="107"/>
      </w:rPr>
      <w:t>t</w:t>
    </w:r>
    <w:r w:rsidRPr="00760319">
      <w:rPr>
        <w:rFonts w:ascii="Segoe UI" w:hAnsi="Segoe UI" w:cs="Segoe UI"/>
        <w:color w:val="0060A9"/>
        <w:spacing w:val="1"/>
        <w:w w:val="138"/>
      </w:rPr>
      <w:t>f</w:t>
    </w:r>
    <w:r w:rsidRPr="00760319">
      <w:rPr>
        <w:rFonts w:ascii="Segoe UI" w:hAnsi="Segoe UI" w:cs="Segoe UI"/>
        <w:color w:val="0060A9"/>
        <w:spacing w:val="2"/>
        <w:w w:val="103"/>
      </w:rPr>
      <w:t>ang/Address</w:t>
    </w:r>
    <w:r w:rsidRPr="00760319">
      <w:rPr>
        <w:rFonts w:ascii="Segoe UI" w:hAnsi="Segoe UI" w:cs="Segoe UI"/>
        <w:color w:val="0060A9"/>
        <w:w w:val="103"/>
      </w:rPr>
      <w:t>:</w:t>
    </w:r>
    <w:r w:rsidRPr="00760319">
      <w:rPr>
        <w:rFonts w:ascii="Segoe UI" w:hAnsi="Segoe UI" w:cs="Segoe UI"/>
        <w:color w:val="0060A9"/>
        <w:spacing w:val="-6"/>
      </w:rPr>
      <w:t xml:space="preserve"> </w:t>
    </w:r>
    <w:r w:rsidRPr="00760319">
      <w:rPr>
        <w:rFonts w:ascii="Segoe UI" w:hAnsi="Segoe UI" w:cs="Segoe UI"/>
        <w:color w:val="0060A9"/>
        <w:spacing w:val="3"/>
      </w:rPr>
      <w:t>V</w:t>
    </w:r>
    <w:r w:rsidRPr="00760319">
      <w:rPr>
        <w:rFonts w:ascii="Segoe UI" w:hAnsi="Segoe UI" w:cs="Segoe UI"/>
        <w:color w:val="0060A9"/>
        <w:spacing w:val="2"/>
      </w:rPr>
      <w:t>ínlan</w:t>
    </w:r>
    <w:r w:rsidRPr="00760319">
      <w:rPr>
        <w:rFonts w:ascii="Segoe UI" w:hAnsi="Segoe UI" w:cs="Segoe UI"/>
        <w:color w:val="0060A9"/>
        <w:spacing w:val="3"/>
      </w:rPr>
      <w:t>d</w:t>
    </w:r>
    <w:r w:rsidRPr="00760319">
      <w:rPr>
        <w:rFonts w:ascii="Segoe UI" w:hAnsi="Segoe UI" w:cs="Segoe UI"/>
        <w:color w:val="0060A9"/>
        <w:spacing w:val="2"/>
      </w:rPr>
      <w:t>slei</w:t>
    </w:r>
    <w:r w:rsidRPr="00760319">
      <w:rPr>
        <w:rFonts w:ascii="Segoe UI" w:hAnsi="Segoe UI" w:cs="Segoe UI"/>
        <w:color w:val="0060A9"/>
      </w:rPr>
      <w:t>ð</w:t>
    </w:r>
    <w:r w:rsidRPr="00760319">
      <w:rPr>
        <w:rFonts w:ascii="Segoe UI" w:hAnsi="Segoe UI" w:cs="Segoe UI"/>
        <w:color w:val="0060A9"/>
        <w:spacing w:val="18"/>
      </w:rPr>
      <w:t xml:space="preserve"> </w:t>
    </w:r>
    <w:r w:rsidRPr="00760319">
      <w:rPr>
        <w:rFonts w:ascii="Segoe UI" w:hAnsi="Segoe UI" w:cs="Segoe UI"/>
        <w:color w:val="0060A9"/>
        <w:spacing w:val="2"/>
        <w:w w:val="92"/>
      </w:rPr>
      <w:t>1</w:t>
    </w:r>
    <w:r w:rsidRPr="00760319">
      <w:rPr>
        <w:rFonts w:ascii="Segoe UI" w:hAnsi="Segoe UI" w:cs="Segoe UI"/>
        <w:color w:val="0060A9"/>
        <w:w w:val="92"/>
      </w:rPr>
      <w:t>4</w:t>
    </w:r>
    <w:r w:rsidRPr="00760319">
      <w:rPr>
        <w:rFonts w:ascii="Segoe UI" w:hAnsi="Segoe UI" w:cs="Segoe UI"/>
        <w:color w:val="0060A9"/>
        <w:spacing w:val="-2"/>
        <w:w w:val="92"/>
      </w:rPr>
      <w:t xml:space="preserve"> </w:t>
    </w:r>
    <w:r w:rsidRPr="00760319">
      <w:rPr>
        <w:rFonts w:ascii="Segoe UI" w:hAnsi="Segoe UI" w:cs="Segoe UI"/>
        <w:color w:val="0060A9"/>
        <w:w w:val="133"/>
      </w:rPr>
      <w:t>|</w:t>
    </w:r>
    <w:r w:rsidRPr="00760319">
      <w:rPr>
        <w:rFonts w:ascii="Segoe UI" w:hAnsi="Segoe UI" w:cs="Segoe UI"/>
        <w:color w:val="0060A9"/>
        <w:spacing w:val="-23"/>
        <w:w w:val="133"/>
      </w:rPr>
      <w:t xml:space="preserve"> </w:t>
    </w:r>
    <w:r w:rsidRPr="00760319">
      <w:rPr>
        <w:rFonts w:ascii="Segoe UI" w:hAnsi="Segoe UI" w:cs="Segoe UI"/>
        <w:color w:val="0060A9"/>
        <w:spacing w:val="2"/>
        <w:w w:val="87"/>
      </w:rPr>
      <w:t>11</w:t>
    </w:r>
    <w:r w:rsidRPr="00760319">
      <w:rPr>
        <w:rFonts w:ascii="Segoe UI" w:hAnsi="Segoe UI" w:cs="Segoe UI"/>
        <w:color w:val="0060A9"/>
        <w:w w:val="87"/>
      </w:rPr>
      <w:t>3</w:t>
    </w:r>
    <w:r w:rsidRPr="00760319">
      <w:rPr>
        <w:rFonts w:ascii="Segoe UI" w:hAnsi="Segoe UI" w:cs="Segoe UI"/>
        <w:color w:val="0060A9"/>
        <w:spacing w:val="1"/>
        <w:w w:val="87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Reykj</w:t>
    </w:r>
    <w:r w:rsidRPr="00760319">
      <w:rPr>
        <w:rFonts w:ascii="Segoe UI" w:hAnsi="Segoe UI" w:cs="Segoe UI"/>
        <w:color w:val="0060A9"/>
      </w:rPr>
      <w:t>a</w:t>
    </w:r>
    <w:r w:rsidRPr="00760319">
      <w:rPr>
        <w:rFonts w:ascii="Segoe UI" w:hAnsi="Segoe UI" w:cs="Segoe UI"/>
        <w:color w:val="0060A9"/>
        <w:spacing w:val="2"/>
      </w:rPr>
      <w:t>ví</w:t>
    </w:r>
    <w:r w:rsidRPr="00760319">
      <w:rPr>
        <w:rFonts w:ascii="Segoe UI" w:hAnsi="Segoe UI" w:cs="Segoe UI"/>
        <w:color w:val="0060A9"/>
      </w:rPr>
      <w:t>k</w:t>
    </w:r>
    <w:r w:rsidRPr="00760319">
      <w:rPr>
        <w:rFonts w:ascii="Segoe UI" w:hAnsi="Segoe UI" w:cs="Segoe UI"/>
        <w:color w:val="0060A9"/>
        <w:spacing w:val="-15"/>
      </w:rPr>
      <w:t xml:space="preserve"> </w:t>
    </w:r>
    <w:r w:rsidRPr="00760319">
      <w:rPr>
        <w:rFonts w:ascii="Segoe UI" w:hAnsi="Segoe UI" w:cs="Segoe UI"/>
        <w:color w:val="0060A9"/>
        <w:w w:val="133"/>
      </w:rPr>
      <w:t>|</w:t>
    </w:r>
    <w:r w:rsidRPr="00760319">
      <w:rPr>
        <w:rFonts w:ascii="Segoe UI" w:hAnsi="Segoe UI" w:cs="Segoe UI"/>
        <w:color w:val="0060A9"/>
        <w:spacing w:val="-23"/>
        <w:w w:val="133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Icelan</w:t>
    </w:r>
    <w:r w:rsidRPr="00760319">
      <w:rPr>
        <w:rFonts w:ascii="Segoe UI" w:hAnsi="Segoe UI" w:cs="Segoe UI"/>
        <w:color w:val="0060A9"/>
      </w:rPr>
      <w:t>d</w:t>
    </w:r>
    <w:r w:rsidRPr="00760319">
      <w:rPr>
        <w:rFonts w:ascii="Segoe UI" w:hAnsi="Segoe UI" w:cs="Segoe UI"/>
        <w:color w:val="0060A9"/>
        <w:spacing w:val="6"/>
      </w:rPr>
      <w:t xml:space="preserve"> </w:t>
    </w:r>
    <w:r w:rsidRPr="00760319">
      <w:rPr>
        <w:rFonts w:ascii="Segoe UI" w:hAnsi="Segoe UI" w:cs="Segoe UI"/>
        <w:color w:val="0060A9"/>
        <w:w w:val="133"/>
      </w:rPr>
      <w:t>|</w:t>
    </w:r>
    <w:r w:rsidRPr="00760319">
      <w:rPr>
        <w:rFonts w:ascii="Segoe UI" w:hAnsi="Segoe UI" w:cs="Segoe UI"/>
        <w:color w:val="0060A9"/>
        <w:spacing w:val="-23"/>
        <w:w w:val="133"/>
      </w:rPr>
      <w:t xml:space="preserve"> </w:t>
    </w:r>
    <w:r w:rsidRPr="00760319">
      <w:rPr>
        <w:rFonts w:ascii="Segoe UI" w:hAnsi="Segoe UI" w:cs="Segoe UI"/>
        <w:color w:val="0060A9"/>
        <w:spacing w:val="2"/>
        <w:w w:val="97"/>
      </w:rPr>
      <w:t>Sím</w:t>
    </w:r>
    <w:r w:rsidRPr="00760319">
      <w:rPr>
        <w:rFonts w:ascii="Segoe UI" w:hAnsi="Segoe UI" w:cs="Segoe UI"/>
        <w:color w:val="0060A9"/>
        <w:w w:val="127"/>
      </w:rPr>
      <w:t>i</w:t>
    </w:r>
    <w:r w:rsidRPr="00760319">
      <w:rPr>
        <w:rFonts w:ascii="Segoe UI" w:hAnsi="Segoe UI" w:cs="Segoe UI"/>
        <w:color w:val="0060A9"/>
        <w:spacing w:val="-31"/>
      </w:rPr>
      <w:t xml:space="preserve"> </w:t>
    </w:r>
    <w:r w:rsidRPr="00760319">
      <w:rPr>
        <w:rFonts w:ascii="Segoe UI" w:hAnsi="Segoe UI" w:cs="Segoe UI"/>
        <w:color w:val="0060A9"/>
        <w:w w:val="131"/>
      </w:rPr>
      <w:t>/</w:t>
    </w:r>
    <w:r w:rsidRPr="00760319">
      <w:rPr>
        <w:rFonts w:ascii="Segoe UI" w:hAnsi="Segoe UI" w:cs="Segoe UI"/>
        <w:color w:val="0060A9"/>
        <w:spacing w:val="-32"/>
      </w:rPr>
      <w:t xml:space="preserve"> </w:t>
    </w:r>
    <w:r w:rsidRPr="00760319">
      <w:rPr>
        <w:rFonts w:ascii="Segoe UI" w:hAnsi="Segoe UI" w:cs="Segoe UI"/>
        <w:color w:val="0060A9"/>
        <w:spacing w:val="-5"/>
      </w:rPr>
      <w:t>T</w:t>
    </w:r>
    <w:r w:rsidRPr="00760319">
      <w:rPr>
        <w:rFonts w:ascii="Segoe UI" w:hAnsi="Segoe UI" w:cs="Segoe UI"/>
        <w:color w:val="0060A9"/>
        <w:spacing w:val="2"/>
      </w:rPr>
      <w:t>el</w:t>
    </w:r>
    <w:r w:rsidRPr="00760319">
      <w:rPr>
        <w:rFonts w:ascii="Segoe UI" w:hAnsi="Segoe UI" w:cs="Segoe UI"/>
        <w:color w:val="0060A9"/>
      </w:rPr>
      <w:t>.</w:t>
    </w:r>
    <w:r w:rsidRPr="00760319">
      <w:rPr>
        <w:rFonts w:ascii="Segoe UI" w:hAnsi="Segoe UI" w:cs="Segoe UI"/>
        <w:color w:val="0060A9"/>
        <w:spacing w:val="-15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+35</w:t>
    </w:r>
    <w:r w:rsidRPr="00760319">
      <w:rPr>
        <w:rFonts w:ascii="Segoe UI" w:hAnsi="Segoe UI" w:cs="Segoe UI"/>
        <w:color w:val="0060A9"/>
      </w:rPr>
      <w:t>4</w:t>
    </w:r>
    <w:r w:rsidRPr="00760319">
      <w:rPr>
        <w:rFonts w:ascii="Segoe UI" w:hAnsi="Segoe UI" w:cs="Segoe UI"/>
        <w:color w:val="0060A9"/>
        <w:spacing w:val="-6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52</w:t>
    </w:r>
    <w:r w:rsidRPr="00760319">
      <w:rPr>
        <w:rFonts w:ascii="Segoe UI" w:hAnsi="Segoe UI" w:cs="Segoe UI"/>
        <w:color w:val="0060A9"/>
      </w:rPr>
      <w:t>0</w:t>
    </w:r>
    <w:r w:rsidRPr="00760319">
      <w:rPr>
        <w:rFonts w:ascii="Segoe UI" w:hAnsi="Segoe UI" w:cs="Segoe UI"/>
        <w:color w:val="0060A9"/>
        <w:spacing w:val="7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210</w:t>
    </w:r>
    <w:r w:rsidRPr="00760319">
      <w:rPr>
        <w:rFonts w:ascii="Segoe UI" w:hAnsi="Segoe UI" w:cs="Segoe UI"/>
        <w:color w:val="0060A9"/>
      </w:rPr>
      <w:t>0</w:t>
    </w:r>
    <w:r w:rsidRPr="00760319">
      <w:rPr>
        <w:rFonts w:ascii="Segoe UI" w:hAnsi="Segoe UI" w:cs="Segoe UI"/>
        <w:color w:val="0060A9"/>
        <w:spacing w:val="-10"/>
      </w:rPr>
      <w:t xml:space="preserve"> </w:t>
    </w:r>
    <w:r w:rsidRPr="00760319">
      <w:rPr>
        <w:rFonts w:ascii="Segoe UI" w:hAnsi="Segoe UI" w:cs="Segoe UI"/>
        <w:color w:val="0060A9"/>
        <w:w w:val="133"/>
      </w:rPr>
      <w:t>|</w:t>
    </w:r>
    <w:r w:rsidRPr="00760319">
      <w:rPr>
        <w:rFonts w:ascii="Segoe UI" w:hAnsi="Segoe UI" w:cs="Segoe UI"/>
        <w:color w:val="0060A9"/>
        <w:spacing w:val="-23"/>
        <w:w w:val="133"/>
      </w:rPr>
      <w:t xml:space="preserve"> </w:t>
    </w:r>
    <w:r w:rsidRPr="00760319">
      <w:rPr>
        <w:rFonts w:ascii="Segoe UI" w:hAnsi="Segoe UI" w:cs="Segoe UI"/>
        <w:color w:val="0060A9"/>
        <w:spacing w:val="1"/>
        <w:w w:val="94"/>
      </w:rPr>
      <w:t>F</w:t>
    </w:r>
    <w:r w:rsidRPr="00760319">
      <w:rPr>
        <w:rFonts w:ascii="Segoe UI" w:hAnsi="Segoe UI" w:cs="Segoe UI"/>
        <w:color w:val="0060A9"/>
        <w:spacing w:val="2"/>
        <w:w w:val="94"/>
      </w:rPr>
      <w:t>a</w:t>
    </w:r>
    <w:r w:rsidRPr="00760319">
      <w:rPr>
        <w:rFonts w:ascii="Segoe UI" w:hAnsi="Segoe UI" w:cs="Segoe UI"/>
        <w:color w:val="0060A9"/>
        <w:w w:val="94"/>
      </w:rPr>
      <w:t>x</w:t>
    </w:r>
    <w:r w:rsidRPr="00760319">
      <w:rPr>
        <w:rFonts w:ascii="Segoe UI" w:hAnsi="Segoe UI" w:cs="Segoe UI"/>
        <w:color w:val="0060A9"/>
        <w:spacing w:val="-2"/>
        <w:w w:val="94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+35</w:t>
    </w:r>
    <w:r w:rsidRPr="00760319">
      <w:rPr>
        <w:rFonts w:ascii="Segoe UI" w:hAnsi="Segoe UI" w:cs="Segoe UI"/>
        <w:color w:val="0060A9"/>
      </w:rPr>
      <w:t>4</w:t>
    </w:r>
    <w:r w:rsidRPr="00760319">
      <w:rPr>
        <w:rFonts w:ascii="Segoe UI" w:hAnsi="Segoe UI" w:cs="Segoe UI"/>
        <w:color w:val="0060A9"/>
        <w:spacing w:val="-6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56</w:t>
    </w:r>
    <w:r w:rsidRPr="00760319">
      <w:rPr>
        <w:rFonts w:ascii="Segoe UI" w:hAnsi="Segoe UI" w:cs="Segoe UI"/>
        <w:color w:val="0060A9"/>
      </w:rPr>
      <w:t>1</w:t>
    </w:r>
    <w:r w:rsidRPr="00760319">
      <w:rPr>
        <w:rFonts w:ascii="Segoe UI" w:hAnsi="Segoe UI" w:cs="Segoe UI"/>
        <w:color w:val="0060A9"/>
        <w:spacing w:val="-15"/>
      </w:rPr>
      <w:t xml:space="preserve"> </w:t>
    </w:r>
    <w:r w:rsidRPr="00760319">
      <w:rPr>
        <w:rFonts w:ascii="Segoe UI" w:hAnsi="Segoe UI" w:cs="Segoe UI"/>
        <w:color w:val="0060A9"/>
        <w:spacing w:val="2"/>
      </w:rPr>
      <w:t>21</w:t>
    </w:r>
    <w:r w:rsidRPr="00760319">
      <w:rPr>
        <w:rFonts w:ascii="Segoe UI" w:hAnsi="Segoe UI" w:cs="Segoe UI"/>
        <w:color w:val="0060A9"/>
      </w:rPr>
      <w:t>70</w:t>
    </w:r>
  </w:p>
  <w:p w14:paraId="03D52FC5" w14:textId="77777777" w:rsidR="00760319" w:rsidRPr="00760319" w:rsidRDefault="008D12AC" w:rsidP="00760319">
    <w:pPr>
      <w:autoSpaceDE w:val="0"/>
      <w:autoSpaceDN w:val="0"/>
      <w:adjustRightInd w:val="0"/>
      <w:ind w:left="40" w:right="-20"/>
      <w:jc w:val="center"/>
      <w:rPr>
        <w:rFonts w:ascii="Segoe UI" w:hAnsi="Segoe UI" w:cs="Segoe UI"/>
        <w:color w:val="000000"/>
      </w:rPr>
    </w:pPr>
    <w:hyperlink r:id="rId1" w:history="1">
      <w:r w:rsidR="00760319" w:rsidRPr="00760319">
        <w:rPr>
          <w:rFonts w:ascii="Segoe UI" w:hAnsi="Segoe UI" w:cs="Segoe UI"/>
          <w:color w:val="0060A9"/>
          <w:spacing w:val="4"/>
          <w:w w:val="107"/>
        </w:rPr>
        <w:t>ly</w:t>
      </w:r>
      <w:r w:rsidR="00760319" w:rsidRPr="00760319">
        <w:rPr>
          <w:rFonts w:ascii="Segoe UI" w:hAnsi="Segoe UI" w:cs="Segoe UI"/>
          <w:color w:val="0060A9"/>
          <w:spacing w:val="2"/>
          <w:w w:val="107"/>
        </w:rPr>
        <w:t>fjas</w:t>
      </w:r>
      <w:r w:rsidR="00760319" w:rsidRPr="00760319">
        <w:rPr>
          <w:rFonts w:ascii="Segoe UI" w:hAnsi="Segoe UI" w:cs="Segoe UI"/>
          <w:color w:val="0060A9"/>
          <w:spacing w:val="1"/>
          <w:w w:val="107"/>
        </w:rPr>
        <w:t>t</w:t>
      </w:r>
      <w:r w:rsidR="00760319" w:rsidRPr="00760319">
        <w:rPr>
          <w:rFonts w:ascii="Segoe UI" w:hAnsi="Segoe UI" w:cs="Segoe UI"/>
          <w:color w:val="0060A9"/>
          <w:spacing w:val="2"/>
          <w:w w:val="107"/>
        </w:rPr>
        <w:t>ofnun@</w:t>
      </w:r>
      <w:r w:rsidR="00760319" w:rsidRPr="00760319">
        <w:rPr>
          <w:rFonts w:ascii="Segoe UI" w:hAnsi="Segoe UI" w:cs="Segoe UI"/>
          <w:color w:val="0060A9"/>
          <w:spacing w:val="4"/>
          <w:w w:val="107"/>
        </w:rPr>
        <w:t>ly</w:t>
      </w:r>
      <w:r w:rsidR="00760319" w:rsidRPr="00760319">
        <w:rPr>
          <w:rFonts w:ascii="Segoe UI" w:hAnsi="Segoe UI" w:cs="Segoe UI"/>
          <w:color w:val="0060A9"/>
          <w:spacing w:val="2"/>
          <w:w w:val="107"/>
        </w:rPr>
        <w:t>fjas</w:t>
      </w:r>
      <w:r w:rsidR="00760319" w:rsidRPr="00760319">
        <w:rPr>
          <w:rFonts w:ascii="Segoe UI" w:hAnsi="Segoe UI" w:cs="Segoe UI"/>
          <w:color w:val="0060A9"/>
          <w:spacing w:val="1"/>
          <w:w w:val="107"/>
        </w:rPr>
        <w:t>t</w:t>
      </w:r>
      <w:r w:rsidR="00760319" w:rsidRPr="00760319">
        <w:rPr>
          <w:rFonts w:ascii="Segoe UI" w:hAnsi="Segoe UI" w:cs="Segoe UI"/>
          <w:color w:val="0060A9"/>
          <w:spacing w:val="2"/>
          <w:w w:val="107"/>
        </w:rPr>
        <w:t>ofnun.i</w:t>
      </w:r>
      <w:r w:rsidR="00760319" w:rsidRPr="00760319">
        <w:rPr>
          <w:rFonts w:ascii="Segoe UI" w:hAnsi="Segoe UI" w:cs="Segoe UI"/>
          <w:color w:val="0060A9"/>
          <w:w w:val="107"/>
        </w:rPr>
        <w:t>s</w:t>
      </w:r>
      <w:r w:rsidR="00760319" w:rsidRPr="00760319">
        <w:rPr>
          <w:rFonts w:ascii="Segoe UI" w:hAnsi="Segoe UI" w:cs="Segoe UI"/>
          <w:color w:val="0060A9"/>
          <w:spacing w:val="-7"/>
          <w:w w:val="107"/>
        </w:rPr>
        <w:t xml:space="preserve"> </w:t>
      </w:r>
    </w:hyperlink>
    <w:r w:rsidR="00760319" w:rsidRPr="00760319">
      <w:rPr>
        <w:rFonts w:ascii="Segoe UI" w:hAnsi="Segoe UI" w:cs="Segoe UI"/>
        <w:color w:val="0060A9"/>
        <w:w w:val="107"/>
      </w:rPr>
      <w:t>|</w:t>
    </w:r>
    <w:r w:rsidR="00760319" w:rsidRPr="00760319">
      <w:rPr>
        <w:rFonts w:ascii="Segoe UI" w:hAnsi="Segoe UI" w:cs="Segoe UI"/>
        <w:color w:val="0060A9"/>
        <w:spacing w:val="3"/>
        <w:w w:val="107"/>
      </w:rPr>
      <w:t xml:space="preserve"> </w:t>
    </w:r>
    <w:hyperlink r:id="rId2" w:history="1">
      <w:r w:rsidR="00760319" w:rsidRPr="00760319">
        <w:rPr>
          <w:rFonts w:ascii="Segoe UI" w:hAnsi="Segoe UI" w:cs="Segoe UI"/>
          <w:color w:val="0060A9"/>
          <w:spacing w:val="5"/>
          <w:w w:val="101"/>
        </w:rPr>
        <w:t>ww</w:t>
      </w:r>
      <w:r w:rsidR="00760319" w:rsidRPr="00760319">
        <w:rPr>
          <w:rFonts w:ascii="Segoe UI" w:hAnsi="Segoe UI" w:cs="Segoe UI"/>
          <w:color w:val="0060A9"/>
          <w:spacing w:val="-7"/>
          <w:w w:val="101"/>
        </w:rPr>
        <w:t>w</w:t>
      </w:r>
      <w:r w:rsidR="00760319" w:rsidRPr="00760319">
        <w:rPr>
          <w:rFonts w:ascii="Segoe UI" w:hAnsi="Segoe UI" w:cs="Segoe UI"/>
          <w:color w:val="0060A9"/>
          <w:spacing w:val="2"/>
          <w:w w:val="104"/>
        </w:rPr>
        <w:t>.</w:t>
      </w:r>
      <w:r w:rsidR="00760319" w:rsidRPr="00760319">
        <w:rPr>
          <w:rFonts w:ascii="Segoe UI" w:hAnsi="Segoe UI" w:cs="Segoe UI"/>
          <w:color w:val="0060A9"/>
          <w:spacing w:val="4"/>
          <w:w w:val="118"/>
        </w:rPr>
        <w:t>l</w:t>
      </w:r>
      <w:r w:rsidR="00760319" w:rsidRPr="00760319">
        <w:rPr>
          <w:rFonts w:ascii="Segoe UI" w:hAnsi="Segoe UI" w:cs="Segoe UI"/>
          <w:color w:val="0060A9"/>
          <w:spacing w:val="4"/>
          <w:w w:val="105"/>
        </w:rPr>
        <w:t>y</w:t>
      </w:r>
      <w:r w:rsidR="00760319" w:rsidRPr="00760319">
        <w:rPr>
          <w:rFonts w:ascii="Segoe UI" w:hAnsi="Segoe UI" w:cs="Segoe UI"/>
          <w:color w:val="0060A9"/>
          <w:spacing w:val="2"/>
          <w:w w:val="113"/>
        </w:rPr>
        <w:t>fjas</w:t>
      </w:r>
      <w:r w:rsidR="00760319" w:rsidRPr="00760319">
        <w:rPr>
          <w:rFonts w:ascii="Segoe UI" w:hAnsi="Segoe UI" w:cs="Segoe UI"/>
          <w:color w:val="0060A9"/>
          <w:spacing w:val="1"/>
          <w:w w:val="113"/>
        </w:rPr>
        <w:t>t</w:t>
      </w:r>
      <w:r w:rsidR="00760319" w:rsidRPr="00760319">
        <w:rPr>
          <w:rFonts w:ascii="Segoe UI" w:hAnsi="Segoe UI" w:cs="Segoe UI"/>
          <w:color w:val="0060A9"/>
          <w:spacing w:val="2"/>
          <w:w w:val="108"/>
        </w:rPr>
        <w:t>ofnun.is</w:t>
      </w:r>
    </w:hyperlink>
  </w:p>
  <w:p w14:paraId="24964214" w14:textId="77777777" w:rsidR="00760319" w:rsidRDefault="0076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9338" w14:textId="77777777" w:rsidR="008D12AC" w:rsidRDefault="008D12AC" w:rsidP="00760319">
      <w:r>
        <w:separator/>
      </w:r>
    </w:p>
  </w:footnote>
  <w:footnote w:type="continuationSeparator" w:id="0">
    <w:p w14:paraId="72569CF2" w14:textId="77777777" w:rsidR="008D12AC" w:rsidRDefault="008D12AC" w:rsidP="0076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BE46" w14:textId="77777777" w:rsidR="00760319" w:rsidRDefault="00760319" w:rsidP="00760319">
    <w:pPr>
      <w:pStyle w:val="Header"/>
      <w:tabs>
        <w:tab w:val="clear" w:pos="4536"/>
        <w:tab w:val="clear" w:pos="9072"/>
        <w:tab w:val="left" w:pos="8280"/>
      </w:tabs>
      <w:jc w:val="right"/>
    </w:pPr>
    <w:r>
      <w:tab/>
    </w:r>
    <w:r w:rsidR="00536503">
      <w:rPr>
        <w:noProof/>
        <w:lang w:eastAsia="is-IS"/>
      </w:rPr>
      <w:drawing>
        <wp:inline distT="0" distB="0" distL="0" distR="0" wp14:anchorId="72F0A4D8" wp14:editId="14F0EC9B">
          <wp:extent cx="2209800" cy="73708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yfjastofnun_logo-RGB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995" cy="76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72C"/>
    <w:multiLevelType w:val="hybridMultilevel"/>
    <w:tmpl w:val="C99851E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1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AC"/>
    <w:rsid w:val="00276B40"/>
    <w:rsid w:val="002D548A"/>
    <w:rsid w:val="00426DB4"/>
    <w:rsid w:val="00536503"/>
    <w:rsid w:val="005D0190"/>
    <w:rsid w:val="00675581"/>
    <w:rsid w:val="00760319"/>
    <w:rsid w:val="008D12AC"/>
    <w:rsid w:val="00933F4D"/>
    <w:rsid w:val="0097286C"/>
    <w:rsid w:val="009D0811"/>
    <w:rsid w:val="00B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DC60"/>
  <w15:chartTrackingRefBased/>
  <w15:docId w15:val="{2D1DB1EB-31F5-4111-83E8-95E2FC2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AC"/>
    <w:pPr>
      <w:spacing w:after="0" w:line="240" w:lineRule="auto"/>
    </w:pPr>
    <w:rPr>
      <w:rFonts w:ascii="Verdana" w:eastAsia="SimSun" w:hAnsi="Verdana" w:cs="Times New Roman"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8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3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19"/>
  </w:style>
  <w:style w:type="paragraph" w:styleId="Footer">
    <w:name w:val="footer"/>
    <w:basedOn w:val="Normal"/>
    <w:link w:val="FooterChar"/>
    <w:uiPriority w:val="99"/>
    <w:unhideWhenUsed/>
    <w:rsid w:val="007603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19"/>
  </w:style>
  <w:style w:type="paragraph" w:customStyle="1" w:styleId="BodytextAgency">
    <w:name w:val="Body text (Agency)"/>
    <w:basedOn w:val="Normal"/>
    <w:link w:val="BodytextAgencyChar"/>
    <w:qFormat/>
    <w:rsid w:val="008D12AC"/>
    <w:pPr>
      <w:spacing w:after="140" w:line="280" w:lineRule="atLeast"/>
    </w:pPr>
    <w:rPr>
      <w:rFonts w:eastAsia="Verdana"/>
    </w:rPr>
  </w:style>
  <w:style w:type="paragraph" w:customStyle="1" w:styleId="No-numheading1Agency">
    <w:name w:val="No-num heading 1 (Agency)"/>
    <w:basedOn w:val="Normal"/>
    <w:next w:val="BodytextAgency"/>
    <w:qFormat/>
    <w:rsid w:val="008D12AC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RefAgency">
    <w:name w:val="Ref. (Agency)"/>
    <w:basedOn w:val="Normal"/>
    <w:qFormat/>
    <w:rsid w:val="008D12AC"/>
    <w:rPr>
      <w:rFonts w:eastAsia="Times New Roman"/>
      <w:sz w:val="17"/>
    </w:rPr>
  </w:style>
  <w:style w:type="character" w:customStyle="1" w:styleId="BodytextAgencyChar">
    <w:name w:val="Body text (Agency) Char"/>
    <w:link w:val="BodytextAgency"/>
    <w:qFormat/>
    <w:locked/>
    <w:rsid w:val="008D12AC"/>
    <w:rPr>
      <w:rFonts w:ascii="Verdana" w:eastAsia="Verdana" w:hAnsi="Verdan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fjastofnun.is/" TargetMode="External"/><Relationship Id="rId1" Type="http://schemas.openxmlformats.org/officeDocument/2006/relationships/hyperlink" Target="mailto:lyfjastofnun@lyfjastofnu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ublicadministrationis.sharepoint.com/snidmat/Lyfjastofnun/Br&#233;fsefni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A9BEAEF1AF34B9A7BC9CCF6019CEE" ma:contentTypeVersion="7" ma:contentTypeDescription="Create a new document." ma:contentTypeScope="" ma:versionID="570eaa289b42fe9405b3c84ef68139d3">
  <xsd:schema xmlns:xsd="http://www.w3.org/2001/XMLSchema" xmlns:xs="http://www.w3.org/2001/XMLSchema" xmlns:p="http://schemas.microsoft.com/office/2006/metadata/properties" xmlns:ns2="64bd9969-4d64-4fee-9470-f1ad7c20f262" xmlns:ns3="4e19cfb4-0787-4884-9500-c7f1d84c1de5" targetNamespace="http://schemas.microsoft.com/office/2006/metadata/properties" ma:root="true" ma:fieldsID="e38ac58c7270076050cbd0e31d0d238d" ns2:_="" ns3:_="">
    <xsd:import namespace="64bd9969-4d64-4fee-9470-f1ad7c20f262"/>
    <xsd:import namespace="4e19cfb4-0787-4884-9500-c7f1d84c1d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d9969-4d64-4fee-9470-f1ad7c20f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9cfb4-0787-4884-9500-c7f1d84c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C1063-D1BE-4373-B26D-92BE2CF61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A68D4-6709-4EC2-8D8B-01131098CD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986E0-296E-4D83-979E-7578E7292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d9969-4d64-4fee-9470-f1ad7c20f262"/>
    <ds:schemaRef ds:uri="4e19cfb4-0787-4884-9500-c7f1d84c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A8DFF-5CB8-46DD-B512-D555EEA92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Bréfsefni%20-%20template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Lyfjastofnun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 Hlín Henrysdóttir - IMA</dc:creator>
  <cp:keywords/>
  <dc:description/>
  <cp:lastModifiedBy>Erla Hlín Henrysdóttir - IMA</cp:lastModifiedBy>
  <cp:revision>1</cp:revision>
  <dcterms:created xsi:type="dcterms:W3CDTF">2022-12-16T12:12:00Z</dcterms:created>
  <dcterms:modified xsi:type="dcterms:W3CDTF">2022-12-16T12:13:00Z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0x010100FCAA9BEAEF1AF34B9A7BC9CCF6019CEE</vt:lpwstr>
  </property>
</Properties>
</file>